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03F23" w14:textId="77777777" w:rsidR="00A92E6F" w:rsidRDefault="00B07FFE">
      <w:pPr>
        <w:pStyle w:val="Ttulo1"/>
        <w:spacing w:before="1"/>
        <w:ind w:left="4060" w:right="4451"/>
        <w:jc w:val="center"/>
      </w:pPr>
      <w:r>
        <w:t>FICHA TÉCNICA</w:t>
      </w:r>
    </w:p>
    <w:p w14:paraId="6F803F24" w14:textId="0593108B" w:rsidR="00A92E6F" w:rsidRDefault="00A92E6F">
      <w:pPr>
        <w:pStyle w:val="Textoindependiente"/>
        <w:spacing w:before="9"/>
        <w:rPr>
          <w:b/>
          <w:sz w:val="20"/>
        </w:rPr>
      </w:pPr>
    </w:p>
    <w:p w14:paraId="75EE5832" w14:textId="77777777" w:rsidR="003C312D" w:rsidRDefault="003C312D">
      <w:pPr>
        <w:pStyle w:val="Textoindependiente"/>
        <w:spacing w:before="9"/>
        <w:rPr>
          <w:b/>
          <w:sz w:val="20"/>
        </w:rPr>
      </w:pPr>
    </w:p>
    <w:p w14:paraId="6F803F25" w14:textId="77777777" w:rsidR="00A92E6F" w:rsidRDefault="00B07FFE">
      <w:pPr>
        <w:pStyle w:val="Prrafodelista"/>
        <w:numPr>
          <w:ilvl w:val="0"/>
          <w:numId w:val="5"/>
        </w:numPr>
        <w:tabs>
          <w:tab w:val="left" w:pos="439"/>
        </w:tabs>
        <w:jc w:val="both"/>
        <w:rPr>
          <w:b/>
        </w:rPr>
      </w:pPr>
      <w:r>
        <w:rPr>
          <w:b/>
        </w:rPr>
        <w:t>NOMBRE DEL</w:t>
      </w:r>
      <w:r>
        <w:rPr>
          <w:b/>
          <w:spacing w:val="-3"/>
        </w:rPr>
        <w:t xml:space="preserve"> </w:t>
      </w:r>
      <w:r>
        <w:rPr>
          <w:b/>
        </w:rPr>
        <w:t>MEDICAMENTO</w:t>
      </w:r>
    </w:p>
    <w:p w14:paraId="6F803F26" w14:textId="77777777" w:rsidR="00A92E6F" w:rsidRDefault="00A92E6F">
      <w:pPr>
        <w:pStyle w:val="Textoindependiente"/>
        <w:spacing w:before="3"/>
        <w:rPr>
          <w:b/>
          <w:sz w:val="20"/>
        </w:rPr>
      </w:pPr>
    </w:p>
    <w:p w14:paraId="6F803F27" w14:textId="77777777" w:rsidR="00A92E6F" w:rsidRDefault="00B07FFE">
      <w:pPr>
        <w:pStyle w:val="Textoindependiente"/>
        <w:spacing w:line="276" w:lineRule="auto"/>
        <w:ind w:left="217" w:right="6076"/>
        <w:jc w:val="both"/>
      </w:pPr>
      <w:r>
        <w:t xml:space="preserve">EVOPAD 25 </w:t>
      </w:r>
      <w:r>
        <w:rPr>
          <w:rFonts w:ascii="Symbol" w:hAnsi="Symbol"/>
        </w:rPr>
        <w:t></w:t>
      </w:r>
      <w:r>
        <w:t xml:space="preserve">g/24 h parches transdérmicos EVOPAD 50 </w:t>
      </w:r>
      <w:r>
        <w:rPr>
          <w:rFonts w:ascii="Symbol" w:hAnsi="Symbol"/>
        </w:rPr>
        <w:t></w:t>
      </w:r>
      <w:r>
        <w:t xml:space="preserve">g/24 h parches transdérmicos EVOPAD 75 </w:t>
      </w:r>
      <w:r>
        <w:rPr>
          <w:rFonts w:ascii="Symbol" w:hAnsi="Symbol"/>
        </w:rPr>
        <w:t></w:t>
      </w:r>
      <w:r>
        <w:t xml:space="preserve">g/24 h parches transdérmicos EVOPAD 100 </w:t>
      </w:r>
      <w:r>
        <w:rPr>
          <w:rFonts w:ascii="Symbol" w:hAnsi="Symbol"/>
        </w:rPr>
        <w:t></w:t>
      </w:r>
      <w:r>
        <w:t>g/24 h parches transdérmicos</w:t>
      </w:r>
    </w:p>
    <w:p w14:paraId="6F803F28" w14:textId="77777777" w:rsidR="00A92E6F" w:rsidRDefault="00A92E6F">
      <w:pPr>
        <w:pStyle w:val="Textoindependiente"/>
        <w:rPr>
          <w:sz w:val="26"/>
        </w:rPr>
      </w:pPr>
    </w:p>
    <w:p w14:paraId="6F803F29" w14:textId="77777777" w:rsidR="00A92E6F" w:rsidRDefault="00B07FFE">
      <w:pPr>
        <w:pStyle w:val="Ttulo1"/>
        <w:numPr>
          <w:ilvl w:val="0"/>
          <w:numId w:val="5"/>
        </w:numPr>
        <w:tabs>
          <w:tab w:val="left" w:pos="439"/>
        </w:tabs>
        <w:spacing w:before="195"/>
      </w:pPr>
      <w:r>
        <w:t>COMPOSICIÓN CUALITATIVA Y</w:t>
      </w:r>
      <w:r>
        <w:rPr>
          <w:spacing w:val="-3"/>
        </w:rPr>
        <w:t xml:space="preserve"> </w:t>
      </w:r>
      <w:r>
        <w:t>CUANTITATIVA</w:t>
      </w:r>
    </w:p>
    <w:p w14:paraId="6F803F2A" w14:textId="77777777" w:rsidR="00A92E6F" w:rsidRDefault="00A92E6F">
      <w:pPr>
        <w:pStyle w:val="Textoindependiente"/>
        <w:spacing w:before="5"/>
        <w:rPr>
          <w:b/>
          <w:sz w:val="20"/>
        </w:rPr>
      </w:pPr>
    </w:p>
    <w:p w14:paraId="6F803F2B" w14:textId="77777777" w:rsidR="00A92E6F" w:rsidRDefault="00B07FFE">
      <w:pPr>
        <w:pStyle w:val="Textoindependiente"/>
        <w:ind w:left="217"/>
      </w:pPr>
      <w:r>
        <w:t xml:space="preserve">EVOPAD 25 </w:t>
      </w:r>
      <w:r>
        <w:rPr>
          <w:rFonts w:ascii="Symbol" w:hAnsi="Symbol"/>
        </w:rPr>
        <w:t></w:t>
      </w:r>
      <w:r>
        <w:t>g/24 h parches</w:t>
      </w:r>
      <w:r>
        <w:rPr>
          <w:spacing w:val="-11"/>
        </w:rPr>
        <w:t xml:space="preserve"> </w:t>
      </w:r>
      <w:r>
        <w:t>transdérmicos</w:t>
      </w:r>
    </w:p>
    <w:p w14:paraId="6F803F2C" w14:textId="77777777" w:rsidR="00A92E6F" w:rsidRDefault="00B07FFE">
      <w:pPr>
        <w:pStyle w:val="Textoindependiente"/>
        <w:spacing w:before="40" w:line="276" w:lineRule="auto"/>
        <w:ind w:left="217" w:right="3867"/>
      </w:pPr>
      <w:r>
        <w:t xml:space="preserve">1,55 mg de estradiol formulado como 1,6 mg de estradiol hemihidrato. EVOPAD 50 </w:t>
      </w:r>
      <w:r>
        <w:rPr>
          <w:rFonts w:ascii="Symbol" w:hAnsi="Symbol"/>
        </w:rPr>
        <w:t></w:t>
      </w:r>
      <w:r>
        <w:t>g/24 h parches</w:t>
      </w:r>
      <w:r>
        <w:rPr>
          <w:spacing w:val="-2"/>
        </w:rPr>
        <w:t xml:space="preserve"> </w:t>
      </w:r>
      <w:r>
        <w:t>transdérmicos</w:t>
      </w:r>
    </w:p>
    <w:p w14:paraId="6F803F2D" w14:textId="77777777" w:rsidR="00A92E6F" w:rsidRDefault="00B07FFE">
      <w:pPr>
        <w:pStyle w:val="Textoindependiente"/>
        <w:spacing w:line="278" w:lineRule="auto"/>
        <w:ind w:left="217" w:right="3867"/>
      </w:pPr>
      <w:r>
        <w:t xml:space="preserve">3,10 mg de estradiol formulado como 3,2 mg de estradiol hemihidrato. EVOPAD 75 </w:t>
      </w:r>
      <w:r>
        <w:rPr>
          <w:rFonts w:ascii="Symbol" w:hAnsi="Symbol"/>
        </w:rPr>
        <w:t></w:t>
      </w:r>
      <w:r>
        <w:t>g/24 h parches</w:t>
      </w:r>
      <w:r>
        <w:rPr>
          <w:spacing w:val="-2"/>
        </w:rPr>
        <w:t xml:space="preserve"> </w:t>
      </w:r>
      <w:r>
        <w:t>transdérmicos</w:t>
      </w:r>
    </w:p>
    <w:p w14:paraId="6F803F2E" w14:textId="77777777" w:rsidR="00A92E6F" w:rsidRDefault="00B07FFE">
      <w:pPr>
        <w:pStyle w:val="Textoindependiente"/>
        <w:spacing w:line="276" w:lineRule="auto"/>
        <w:ind w:left="217" w:right="3867"/>
      </w:pPr>
      <w:r>
        <w:t>4,65 mg de estradiol formulado como 4,8 mg de estradiol hemihidrato.</w:t>
      </w:r>
      <w:bookmarkStart w:id="0" w:name="OLE_LINK1"/>
      <w:bookmarkEnd w:id="0"/>
      <w:r>
        <w:t xml:space="preserve"> EVOPAD 100 </w:t>
      </w:r>
      <w:r>
        <w:rPr>
          <w:rFonts w:ascii="Symbol" w:hAnsi="Symbol"/>
        </w:rPr>
        <w:t></w:t>
      </w:r>
      <w:r>
        <w:t>g/24 h parches transdérmicos</w:t>
      </w:r>
    </w:p>
    <w:p w14:paraId="6F803F2F" w14:textId="77777777" w:rsidR="00A92E6F" w:rsidRDefault="00B07FFE">
      <w:pPr>
        <w:pStyle w:val="Textoindependiente"/>
        <w:spacing w:line="552" w:lineRule="auto"/>
        <w:ind w:left="217" w:right="3922"/>
      </w:pPr>
      <w:r>
        <w:t>6,20 mg de estradiol formulado como 6,4 mg de estradiol hemihidrato Para consultar la lista completa de excipientes, ver sección 6.1.</w:t>
      </w:r>
    </w:p>
    <w:p w14:paraId="6F803F30" w14:textId="77777777" w:rsidR="00A92E6F" w:rsidRDefault="00B07FFE">
      <w:pPr>
        <w:pStyle w:val="Ttulo1"/>
        <w:numPr>
          <w:ilvl w:val="0"/>
          <w:numId w:val="5"/>
        </w:numPr>
        <w:tabs>
          <w:tab w:val="left" w:pos="439"/>
        </w:tabs>
        <w:spacing w:before="199"/>
      </w:pPr>
      <w:r>
        <w:t>FORMA</w:t>
      </w:r>
      <w:r>
        <w:rPr>
          <w:spacing w:val="-4"/>
        </w:rPr>
        <w:t xml:space="preserve"> </w:t>
      </w:r>
      <w:r>
        <w:t>FARMACÉUTICA</w:t>
      </w:r>
    </w:p>
    <w:p w14:paraId="6F803F31" w14:textId="77777777" w:rsidR="00A92E6F" w:rsidRDefault="00A92E6F">
      <w:pPr>
        <w:pStyle w:val="Textoindependiente"/>
        <w:spacing w:before="4"/>
        <w:rPr>
          <w:b/>
          <w:sz w:val="20"/>
        </w:rPr>
      </w:pPr>
    </w:p>
    <w:p w14:paraId="6F803F32" w14:textId="77777777" w:rsidR="00A92E6F" w:rsidRDefault="00B07FFE">
      <w:pPr>
        <w:pStyle w:val="Textoindependiente"/>
        <w:spacing w:line="276" w:lineRule="auto"/>
        <w:ind w:left="217" w:right="721"/>
      </w:pPr>
      <w:r>
        <w:t>EVOPAD es un parche transdérmico de tipo matricial, cuadrado, transparente, auto-adhesivo, con un espesor de 0,1 mm, para la aplicación sobre la superficie de la piel.</w:t>
      </w:r>
    </w:p>
    <w:p w14:paraId="6F803F33" w14:textId="77777777" w:rsidR="00A92E6F" w:rsidRDefault="00A92E6F">
      <w:pPr>
        <w:pStyle w:val="Textoindependiente"/>
        <w:spacing w:before="2"/>
        <w:rPr>
          <w:sz w:val="25"/>
        </w:rPr>
      </w:pPr>
    </w:p>
    <w:p w14:paraId="6F803F34" w14:textId="3C503261" w:rsidR="00A92E6F" w:rsidRDefault="00B07FFE">
      <w:pPr>
        <w:pStyle w:val="Textoindependiente"/>
        <w:spacing w:before="1" w:line="276" w:lineRule="auto"/>
        <w:ind w:left="217" w:right="609"/>
        <w:jc w:val="both"/>
      </w:pPr>
      <w:r>
        <w:rPr>
          <w:spacing w:val="-3"/>
        </w:rPr>
        <w:t>EVOPAD</w:t>
      </w:r>
      <w:r w:rsidR="00301EE4">
        <w:rPr>
          <w:spacing w:val="-3"/>
        </w:rPr>
        <w:t xml:space="preserve"> </w:t>
      </w:r>
      <w:r>
        <w:rPr>
          <w:spacing w:val="-3"/>
        </w:rPr>
        <w:t xml:space="preserve">es </w:t>
      </w:r>
      <w:r>
        <w:t xml:space="preserve">un parche laminado plano de dos capas. La primera capa es una lámina protectora flexible, traslúcida y casi incolora. La segunda capa es una lámina adhesiva monocapa (matriz) formada por adhesivo acrílico y goma guar y que contiene estradiol hemihidrato (17-beta-estradiol). Este sistema está protegido por una hoja despegable de poliéster que está fijada a la matriz adhesiva y se quita antes de aplicar el parche a la piel. La hoja de poliéster está recubierta de silicona por ambos lados. La hoja despegable tiene una abertura con forma de S para facilitar su retirada antes de usar el parche. Cada </w:t>
      </w:r>
      <w:r>
        <w:rPr>
          <w:spacing w:val="-3"/>
        </w:rPr>
        <w:t>EVOPAD</w:t>
      </w:r>
      <w:r w:rsidR="00270EB6">
        <w:rPr>
          <w:spacing w:val="-3"/>
        </w:rPr>
        <w:t xml:space="preserve"> </w:t>
      </w:r>
      <w:r>
        <w:rPr>
          <w:spacing w:val="-3"/>
        </w:rPr>
        <w:t xml:space="preserve">se </w:t>
      </w:r>
      <w:r>
        <w:t>suministra dentro de un sobre protector herméticamente</w:t>
      </w:r>
      <w:r>
        <w:rPr>
          <w:spacing w:val="-6"/>
        </w:rPr>
        <w:t xml:space="preserve"> </w:t>
      </w:r>
      <w:r>
        <w:t>cerrado.</w:t>
      </w:r>
    </w:p>
    <w:p w14:paraId="6F803F35" w14:textId="77777777" w:rsidR="00A92E6F" w:rsidRDefault="00A92E6F">
      <w:pPr>
        <w:pStyle w:val="Textoindependiente"/>
        <w:spacing w:before="3"/>
        <w:rPr>
          <w:sz w:val="25"/>
        </w:rPr>
      </w:pPr>
    </w:p>
    <w:p w14:paraId="6F803F36" w14:textId="01B24440" w:rsidR="00A92E6F" w:rsidRDefault="00B07FFE">
      <w:pPr>
        <w:pStyle w:val="Textoindependiente"/>
        <w:spacing w:before="1"/>
        <w:ind w:left="217"/>
      </w:pPr>
      <w:r>
        <w:t>EVOPAD</w:t>
      </w:r>
      <w:r w:rsidR="00270EB6">
        <w:t xml:space="preserve"> </w:t>
      </w:r>
      <w:r>
        <w:t>está disponible en cuatro tamaños que corresponden a cuatro dosis diferentes:</w:t>
      </w:r>
    </w:p>
    <w:p w14:paraId="6F803F37" w14:textId="77777777" w:rsidR="00A92E6F" w:rsidRDefault="00A92E6F">
      <w:pPr>
        <w:pStyle w:val="Textoindependiente"/>
        <w:spacing w:before="9"/>
        <w:rPr>
          <w:sz w:val="28"/>
        </w:rPr>
      </w:pPr>
    </w:p>
    <w:p w14:paraId="6F803F38" w14:textId="77777777" w:rsidR="00A92E6F" w:rsidRDefault="00B07FFE">
      <w:pPr>
        <w:pStyle w:val="Textoindependiente"/>
        <w:spacing w:line="276" w:lineRule="auto"/>
        <w:ind w:left="217" w:right="608"/>
        <w:jc w:val="both"/>
      </w:pPr>
      <w:r>
        <w:rPr>
          <w:b/>
        </w:rPr>
        <w:t xml:space="preserve">EVOPAD 25 </w:t>
      </w:r>
      <w:r>
        <w:rPr>
          <w:rFonts w:ascii="Symbol" w:hAnsi="Symbol"/>
          <w:b/>
        </w:rPr>
        <w:t></w:t>
      </w:r>
      <w:r>
        <w:rPr>
          <w:b/>
        </w:rPr>
        <w:t xml:space="preserve">g/24 h parches transdérmicos </w:t>
      </w:r>
      <w:r>
        <w:t>tiene una superficie de 8 cm</w:t>
      </w:r>
      <w:r>
        <w:rPr>
          <w:vertAlign w:val="superscript"/>
        </w:rPr>
        <w:t>2</w:t>
      </w:r>
      <w:r>
        <w:t xml:space="preserve"> y contiene 1,6 mg de estradiol hemihidrato, lo que corresponde a una liberación nominal de 25 µg de estradiol cada 24 horas. La cara externa de la lámina protectora lleva impresa la marca CE 25 en el centro del borde inferior.</w:t>
      </w:r>
    </w:p>
    <w:p w14:paraId="6F803F39" w14:textId="77777777" w:rsidR="00A92E6F" w:rsidRDefault="00A92E6F">
      <w:pPr>
        <w:pStyle w:val="Textoindependiente"/>
        <w:spacing w:before="2"/>
        <w:rPr>
          <w:sz w:val="25"/>
        </w:rPr>
      </w:pPr>
    </w:p>
    <w:p w14:paraId="6F803F3A" w14:textId="77777777" w:rsidR="00A92E6F" w:rsidRDefault="00B07FFE">
      <w:pPr>
        <w:pStyle w:val="Textoindependiente"/>
        <w:spacing w:line="276" w:lineRule="auto"/>
        <w:ind w:left="217" w:right="606"/>
        <w:jc w:val="both"/>
      </w:pPr>
      <w:r>
        <w:rPr>
          <w:b/>
        </w:rPr>
        <w:t xml:space="preserve">EVOPAD 50 </w:t>
      </w:r>
      <w:r>
        <w:rPr>
          <w:rFonts w:ascii="Symbol" w:hAnsi="Symbol"/>
          <w:b/>
        </w:rPr>
        <w:t></w:t>
      </w:r>
      <w:r>
        <w:rPr>
          <w:b/>
        </w:rPr>
        <w:t xml:space="preserve">g/24 h parches transdérmicos </w:t>
      </w:r>
      <w:r>
        <w:t xml:space="preserve">tiene una superficie de 16 </w:t>
      </w:r>
      <w:r>
        <w:rPr>
          <w:spacing w:val="-3"/>
        </w:rPr>
        <w:t>cm</w:t>
      </w:r>
      <w:r>
        <w:rPr>
          <w:spacing w:val="-3"/>
          <w:vertAlign w:val="superscript"/>
        </w:rPr>
        <w:t>2</w:t>
      </w:r>
      <w:r>
        <w:rPr>
          <w:spacing w:val="-3"/>
        </w:rPr>
        <w:t xml:space="preserve"> </w:t>
      </w:r>
      <w:r>
        <w:t>y contiene 3,2 mg de estradiol hemihidrato, lo que corresponde a una liberación nominal de 50 µg de estradiol cada 24 horas. La cara externa de la lámina protectora lleva impresa la marca CE 50 en el centro del borde</w:t>
      </w:r>
      <w:r>
        <w:rPr>
          <w:spacing w:val="-25"/>
        </w:rPr>
        <w:t xml:space="preserve"> </w:t>
      </w:r>
      <w:r>
        <w:t>inferior.</w:t>
      </w:r>
    </w:p>
    <w:p w14:paraId="6F803F3B" w14:textId="77777777" w:rsidR="00A92E6F" w:rsidRDefault="00A92E6F">
      <w:pPr>
        <w:spacing w:line="276" w:lineRule="auto"/>
        <w:jc w:val="both"/>
        <w:sectPr w:rsidR="00A92E6F">
          <w:headerReference w:type="even" r:id="rId7"/>
          <w:headerReference w:type="default" r:id="rId8"/>
          <w:footerReference w:type="even" r:id="rId9"/>
          <w:footerReference w:type="default" r:id="rId10"/>
          <w:headerReference w:type="first" r:id="rId11"/>
          <w:footerReference w:type="first" r:id="rId12"/>
          <w:type w:val="continuous"/>
          <w:pgSz w:w="11910" w:h="16840"/>
          <w:pgMar w:top="60" w:right="520" w:bottom="900" w:left="1060" w:header="720" w:footer="714" w:gutter="0"/>
          <w:pgNumType w:start="1"/>
          <w:cols w:space="720"/>
        </w:sectPr>
      </w:pPr>
    </w:p>
    <w:p w14:paraId="6F803F3C" w14:textId="2D26FDB5" w:rsidR="00A92E6F" w:rsidRDefault="00A92E6F">
      <w:pPr>
        <w:pStyle w:val="Textoindependiente"/>
        <w:rPr>
          <w:sz w:val="20"/>
        </w:rPr>
      </w:pPr>
    </w:p>
    <w:p w14:paraId="6F803F3D" w14:textId="77777777" w:rsidR="00A92E6F" w:rsidRDefault="00A92E6F">
      <w:pPr>
        <w:pStyle w:val="Textoindependiente"/>
        <w:rPr>
          <w:sz w:val="20"/>
        </w:rPr>
      </w:pPr>
    </w:p>
    <w:p w14:paraId="6F803F3E" w14:textId="77777777" w:rsidR="00A92E6F" w:rsidRDefault="00A92E6F">
      <w:pPr>
        <w:pStyle w:val="Textoindependiente"/>
        <w:rPr>
          <w:sz w:val="20"/>
        </w:rPr>
      </w:pPr>
    </w:p>
    <w:p w14:paraId="6F803F3F" w14:textId="77777777" w:rsidR="00A92E6F" w:rsidRDefault="00A92E6F">
      <w:pPr>
        <w:pStyle w:val="Textoindependiente"/>
        <w:rPr>
          <w:sz w:val="20"/>
        </w:rPr>
      </w:pPr>
    </w:p>
    <w:p w14:paraId="6F803F40" w14:textId="77777777" w:rsidR="00A92E6F" w:rsidRDefault="00A92E6F">
      <w:pPr>
        <w:pStyle w:val="Textoindependiente"/>
        <w:spacing w:before="8"/>
        <w:rPr>
          <w:sz w:val="23"/>
        </w:rPr>
      </w:pPr>
    </w:p>
    <w:p w14:paraId="6F803F41" w14:textId="77777777" w:rsidR="00A92E6F" w:rsidRDefault="00B07FFE">
      <w:pPr>
        <w:pStyle w:val="Textoindependiente"/>
        <w:spacing w:before="1" w:line="276" w:lineRule="auto"/>
        <w:ind w:left="217" w:right="606"/>
        <w:jc w:val="both"/>
      </w:pPr>
      <w:r>
        <w:rPr>
          <w:b/>
        </w:rPr>
        <w:t xml:space="preserve">EVOPAD 75 </w:t>
      </w:r>
      <w:r>
        <w:rPr>
          <w:rFonts w:ascii="Symbol" w:hAnsi="Symbol"/>
          <w:b/>
        </w:rPr>
        <w:t></w:t>
      </w:r>
      <w:r>
        <w:rPr>
          <w:b/>
        </w:rPr>
        <w:t xml:space="preserve">g/24 h parches transdérmicos </w:t>
      </w:r>
      <w:r>
        <w:t xml:space="preserve">tiene una superficie de 24 </w:t>
      </w:r>
      <w:r>
        <w:rPr>
          <w:spacing w:val="-3"/>
        </w:rPr>
        <w:t>cm</w:t>
      </w:r>
      <w:r>
        <w:rPr>
          <w:spacing w:val="-3"/>
          <w:vertAlign w:val="superscript"/>
        </w:rPr>
        <w:t>2</w:t>
      </w:r>
      <w:r>
        <w:rPr>
          <w:spacing w:val="-3"/>
        </w:rPr>
        <w:t xml:space="preserve"> </w:t>
      </w:r>
      <w:r>
        <w:t>y contiene 4,8 mg de estradiol hemihidrato, lo que corresponde a una liberación nominal de 75 µg de estradiol cada 24 horas. La cara externa de la lámina protectora lleva impresa la marca CE 75 en el centro del borde</w:t>
      </w:r>
      <w:r>
        <w:rPr>
          <w:spacing w:val="-26"/>
        </w:rPr>
        <w:t xml:space="preserve"> </w:t>
      </w:r>
      <w:r>
        <w:t>inferior.</w:t>
      </w:r>
    </w:p>
    <w:p w14:paraId="6F803F42" w14:textId="77777777" w:rsidR="00A92E6F" w:rsidRDefault="00A92E6F">
      <w:pPr>
        <w:pStyle w:val="Textoindependiente"/>
        <w:spacing w:before="1"/>
        <w:rPr>
          <w:sz w:val="25"/>
        </w:rPr>
      </w:pPr>
    </w:p>
    <w:p w14:paraId="6F803F43" w14:textId="77777777" w:rsidR="00A92E6F" w:rsidRDefault="00B07FFE">
      <w:pPr>
        <w:pStyle w:val="Textoindependiente"/>
        <w:spacing w:line="276" w:lineRule="auto"/>
        <w:ind w:left="217" w:right="609"/>
        <w:jc w:val="both"/>
      </w:pPr>
      <w:r>
        <w:rPr>
          <w:b/>
        </w:rPr>
        <w:t xml:space="preserve">EVOPAD 100 </w:t>
      </w:r>
      <w:r>
        <w:rPr>
          <w:rFonts w:ascii="Symbol" w:hAnsi="Symbol"/>
          <w:b/>
        </w:rPr>
        <w:t></w:t>
      </w:r>
      <w:r>
        <w:rPr>
          <w:b/>
        </w:rPr>
        <w:t xml:space="preserve">g/24 h parches transdérmicos </w:t>
      </w:r>
      <w:r>
        <w:t xml:space="preserve">tiene una superficie de 32 </w:t>
      </w:r>
      <w:r>
        <w:rPr>
          <w:spacing w:val="-3"/>
        </w:rPr>
        <w:t>cm</w:t>
      </w:r>
      <w:r>
        <w:rPr>
          <w:spacing w:val="-3"/>
          <w:vertAlign w:val="superscript"/>
        </w:rPr>
        <w:t>2</w:t>
      </w:r>
      <w:r>
        <w:rPr>
          <w:spacing w:val="-3"/>
        </w:rPr>
        <w:t xml:space="preserve"> </w:t>
      </w:r>
      <w:r>
        <w:t>y contiene 6,4 mg de estradiol hemihidrato, lo que corresponde a una liberación nominal de 100 µg de estradiol cada 24 horas. La cara externa de la lámina protectora lleva impresa la marca CE 100 en el centro del borde</w:t>
      </w:r>
      <w:r>
        <w:rPr>
          <w:spacing w:val="-19"/>
        </w:rPr>
        <w:t xml:space="preserve"> </w:t>
      </w:r>
      <w:r>
        <w:t>inferior.</w:t>
      </w:r>
    </w:p>
    <w:p w14:paraId="6F803F44" w14:textId="77777777" w:rsidR="00A92E6F" w:rsidRDefault="00A92E6F">
      <w:pPr>
        <w:pStyle w:val="Textoindependiente"/>
        <w:rPr>
          <w:sz w:val="24"/>
        </w:rPr>
      </w:pPr>
    </w:p>
    <w:p w14:paraId="6F803F45" w14:textId="77777777" w:rsidR="00A92E6F" w:rsidRDefault="00A92E6F">
      <w:pPr>
        <w:pStyle w:val="Textoindependiente"/>
        <w:rPr>
          <w:sz w:val="19"/>
        </w:rPr>
      </w:pPr>
    </w:p>
    <w:p w14:paraId="6F803F46" w14:textId="77777777" w:rsidR="00A92E6F" w:rsidRDefault="00B07FFE">
      <w:pPr>
        <w:pStyle w:val="Ttulo1"/>
        <w:numPr>
          <w:ilvl w:val="0"/>
          <w:numId w:val="5"/>
        </w:numPr>
        <w:tabs>
          <w:tab w:val="left" w:pos="439"/>
        </w:tabs>
      </w:pPr>
      <w:r>
        <w:t>DATOS</w:t>
      </w:r>
      <w:r>
        <w:rPr>
          <w:spacing w:val="-1"/>
        </w:rPr>
        <w:t xml:space="preserve"> </w:t>
      </w:r>
      <w:r>
        <w:t>CLÍNICOS</w:t>
      </w:r>
    </w:p>
    <w:p w14:paraId="6F803F47" w14:textId="77777777" w:rsidR="00A92E6F" w:rsidRDefault="00A92E6F">
      <w:pPr>
        <w:pStyle w:val="Textoindependiente"/>
        <w:spacing w:before="9"/>
        <w:rPr>
          <w:b/>
          <w:sz w:val="20"/>
        </w:rPr>
      </w:pPr>
    </w:p>
    <w:p w14:paraId="6F803F48" w14:textId="77777777" w:rsidR="00A92E6F" w:rsidRDefault="00B07FFE">
      <w:pPr>
        <w:pStyle w:val="Prrafodelista"/>
        <w:numPr>
          <w:ilvl w:val="1"/>
          <w:numId w:val="5"/>
        </w:numPr>
        <w:tabs>
          <w:tab w:val="left" w:pos="549"/>
        </w:tabs>
        <w:ind w:hanging="331"/>
        <w:rPr>
          <w:b/>
        </w:rPr>
      </w:pPr>
      <w:r>
        <w:rPr>
          <w:b/>
        </w:rPr>
        <w:t>Indicaciones</w:t>
      </w:r>
      <w:r>
        <w:rPr>
          <w:b/>
          <w:spacing w:val="-1"/>
        </w:rPr>
        <w:t xml:space="preserve"> </w:t>
      </w:r>
      <w:r>
        <w:rPr>
          <w:b/>
        </w:rPr>
        <w:t>terapéuticas</w:t>
      </w:r>
    </w:p>
    <w:p w14:paraId="6F803F49" w14:textId="77777777" w:rsidR="00A92E6F" w:rsidRDefault="00A92E6F">
      <w:pPr>
        <w:pStyle w:val="Textoindependiente"/>
        <w:spacing w:before="3"/>
        <w:rPr>
          <w:b/>
          <w:sz w:val="20"/>
        </w:rPr>
      </w:pPr>
    </w:p>
    <w:p w14:paraId="6F803F4A" w14:textId="77777777" w:rsidR="00A92E6F" w:rsidRDefault="00B07FFE">
      <w:pPr>
        <w:pStyle w:val="Prrafodelista"/>
        <w:numPr>
          <w:ilvl w:val="0"/>
          <w:numId w:val="4"/>
        </w:numPr>
        <w:tabs>
          <w:tab w:val="left" w:pos="784"/>
        </w:tabs>
        <w:ind w:right="607" w:hanging="600"/>
        <w:jc w:val="both"/>
      </w:pPr>
      <w:r>
        <w:t>Terapia de sustitución de estrógeno para corregir la deficiencia de estrógeno y síntomas asociados debidos a menopausia, natural o inducida quirúrgicamente, tales como trastornos vasomotores (sofocos), trastorno urogenital (atrofia vulvovaginal y uretritis</w:t>
      </w:r>
      <w:r>
        <w:rPr>
          <w:spacing w:val="-11"/>
        </w:rPr>
        <w:t xml:space="preserve"> </w:t>
      </w:r>
      <w:r>
        <w:t>atrófica).</w:t>
      </w:r>
    </w:p>
    <w:p w14:paraId="6F803F4B" w14:textId="77777777" w:rsidR="00A92E6F" w:rsidRDefault="00A92E6F">
      <w:pPr>
        <w:pStyle w:val="Textoindependiente"/>
        <w:spacing w:before="3"/>
        <w:rPr>
          <w:sz w:val="25"/>
        </w:rPr>
      </w:pPr>
    </w:p>
    <w:p w14:paraId="6F803F4C" w14:textId="77777777" w:rsidR="00A92E6F" w:rsidRDefault="00B07FFE">
      <w:pPr>
        <w:pStyle w:val="Prrafodelista"/>
        <w:numPr>
          <w:ilvl w:val="0"/>
          <w:numId w:val="4"/>
        </w:numPr>
        <w:tabs>
          <w:tab w:val="left" w:pos="784"/>
        </w:tabs>
        <w:spacing w:before="1"/>
        <w:ind w:right="609" w:hanging="600"/>
        <w:jc w:val="both"/>
      </w:pPr>
      <w:r>
        <w:t>Prevención de osteoporosis en mujeres postmenopáusicas con riesgo elevado de futuras fracturas, que no toleran o en las que están contraindicadas otras alternativas terapéuticas autorizadas para la prevención de</w:t>
      </w:r>
      <w:r>
        <w:rPr>
          <w:spacing w:val="-2"/>
        </w:rPr>
        <w:t xml:space="preserve"> </w:t>
      </w:r>
      <w:r>
        <w:t>osteoporosis.</w:t>
      </w:r>
    </w:p>
    <w:p w14:paraId="6F803F4D" w14:textId="77777777" w:rsidR="00A92E6F" w:rsidRDefault="00A92E6F">
      <w:pPr>
        <w:pStyle w:val="Textoindependiente"/>
        <w:spacing w:before="2"/>
        <w:rPr>
          <w:sz w:val="25"/>
        </w:rPr>
      </w:pPr>
    </w:p>
    <w:p w14:paraId="6F803F4E" w14:textId="77777777" w:rsidR="00A92E6F" w:rsidRDefault="00B07FFE">
      <w:pPr>
        <w:pStyle w:val="Prrafodelista"/>
        <w:numPr>
          <w:ilvl w:val="0"/>
          <w:numId w:val="4"/>
        </w:numPr>
        <w:tabs>
          <w:tab w:val="left" w:pos="783"/>
          <w:tab w:val="left" w:pos="784"/>
        </w:tabs>
        <w:ind w:right="615" w:hanging="600"/>
      </w:pPr>
      <w:r>
        <w:t>En mujeres con útero intacto, la administración de estrógenos deberá acompañarse siempre de la administración secuencial de un</w:t>
      </w:r>
      <w:r>
        <w:rPr>
          <w:spacing w:val="-3"/>
        </w:rPr>
        <w:t xml:space="preserve"> </w:t>
      </w:r>
      <w:r>
        <w:t>progestágeno.</w:t>
      </w:r>
    </w:p>
    <w:p w14:paraId="6F803F4F" w14:textId="77777777" w:rsidR="00A92E6F" w:rsidRDefault="00A92E6F">
      <w:pPr>
        <w:pStyle w:val="Textoindependiente"/>
        <w:spacing w:before="3"/>
        <w:rPr>
          <w:sz w:val="25"/>
        </w:rPr>
      </w:pPr>
    </w:p>
    <w:p w14:paraId="6F803F50" w14:textId="77777777" w:rsidR="00A92E6F" w:rsidRDefault="00B07FFE">
      <w:pPr>
        <w:pStyle w:val="Textoindependiente"/>
        <w:ind w:left="217"/>
        <w:jc w:val="both"/>
      </w:pPr>
      <w:r>
        <w:t>La experiencia en mujeres mayores de 65 años es limitada.</w:t>
      </w:r>
    </w:p>
    <w:p w14:paraId="6F803F51" w14:textId="77777777" w:rsidR="00A92E6F" w:rsidRDefault="00B07FFE">
      <w:pPr>
        <w:pStyle w:val="Ttulo1"/>
        <w:numPr>
          <w:ilvl w:val="1"/>
          <w:numId w:val="5"/>
        </w:numPr>
        <w:tabs>
          <w:tab w:val="left" w:pos="549"/>
        </w:tabs>
        <w:spacing w:before="205"/>
        <w:ind w:hanging="331"/>
        <w:jc w:val="both"/>
      </w:pPr>
      <w:r>
        <w:t>Posología y forma de</w:t>
      </w:r>
      <w:r>
        <w:rPr>
          <w:spacing w:val="-7"/>
        </w:rPr>
        <w:t xml:space="preserve"> </w:t>
      </w:r>
      <w:r>
        <w:t>administración</w:t>
      </w:r>
    </w:p>
    <w:p w14:paraId="6F803F52" w14:textId="77777777" w:rsidR="00A92E6F" w:rsidRDefault="00A92E6F">
      <w:pPr>
        <w:pStyle w:val="Textoindependiente"/>
        <w:spacing w:before="4"/>
        <w:rPr>
          <w:b/>
          <w:sz w:val="20"/>
        </w:rPr>
      </w:pPr>
    </w:p>
    <w:p w14:paraId="6F803F53" w14:textId="77777777" w:rsidR="00A92E6F" w:rsidRDefault="00B07FFE">
      <w:pPr>
        <w:pStyle w:val="Textoindependiente"/>
        <w:ind w:left="217"/>
        <w:jc w:val="both"/>
      </w:pPr>
      <w:r>
        <w:rPr>
          <w:u w:val="single"/>
        </w:rPr>
        <w:t>Posología</w:t>
      </w:r>
    </w:p>
    <w:p w14:paraId="6F803F54" w14:textId="77777777" w:rsidR="00A92E6F" w:rsidRDefault="00B07FFE">
      <w:pPr>
        <w:spacing w:before="38"/>
        <w:ind w:left="217"/>
        <w:jc w:val="both"/>
        <w:rPr>
          <w:i/>
        </w:rPr>
      </w:pPr>
      <w:r>
        <w:rPr>
          <w:i/>
        </w:rPr>
        <w:t>Adultos</w:t>
      </w:r>
    </w:p>
    <w:p w14:paraId="6F803F55" w14:textId="1704033C" w:rsidR="00A92E6F" w:rsidRDefault="00B07FFE">
      <w:pPr>
        <w:pStyle w:val="Textoindependiente"/>
        <w:spacing w:before="38" w:line="276" w:lineRule="auto"/>
        <w:ind w:left="217" w:right="721"/>
      </w:pPr>
      <w:r>
        <w:t>EVOPAD</w:t>
      </w:r>
      <w:r w:rsidR="00D501C5">
        <w:t xml:space="preserve"> </w:t>
      </w:r>
      <w:r>
        <w:t>debe aplicarse dos veces por semana, cada parche utilizado se debe retirar después de 3-4 días y se aplica uno nuevo.</w:t>
      </w:r>
    </w:p>
    <w:p w14:paraId="6F803F56" w14:textId="77777777" w:rsidR="00A92E6F" w:rsidRDefault="00A92E6F">
      <w:pPr>
        <w:pStyle w:val="Textoindependiente"/>
        <w:spacing w:before="4"/>
        <w:rPr>
          <w:sz w:val="25"/>
        </w:rPr>
      </w:pPr>
    </w:p>
    <w:p w14:paraId="6F803F57" w14:textId="77777777" w:rsidR="00A92E6F" w:rsidRDefault="00B07FFE">
      <w:pPr>
        <w:pStyle w:val="Textoindependiente"/>
        <w:spacing w:line="276" w:lineRule="auto"/>
        <w:ind w:left="217" w:right="610"/>
        <w:jc w:val="both"/>
      </w:pPr>
      <w:r>
        <w:t>EVOPAD se puede utilizar en régimen continuo (mujeres histerectomizadas o aquellas que presenten manifestaciones graves del síndrome de deficiencia de estrógenos durante el descanso terapéutico) o bien cíclico de 3 semanas seguido de un periodo de descanso terapéutico de 7 días. Durante este periodo se puede producir sangrado vaginal.</w:t>
      </w:r>
    </w:p>
    <w:p w14:paraId="6F803F58" w14:textId="77777777" w:rsidR="00A92E6F" w:rsidRDefault="00A92E6F">
      <w:pPr>
        <w:pStyle w:val="Textoindependiente"/>
        <w:spacing w:before="3"/>
        <w:rPr>
          <w:sz w:val="25"/>
        </w:rPr>
      </w:pPr>
    </w:p>
    <w:p w14:paraId="6F803F59" w14:textId="77777777" w:rsidR="00A92E6F" w:rsidRDefault="00B07FFE">
      <w:pPr>
        <w:pStyle w:val="Textoindependiente"/>
        <w:spacing w:line="276" w:lineRule="auto"/>
        <w:ind w:left="217" w:right="721"/>
      </w:pPr>
      <w:r>
        <w:t>Tanto para el comienzo como para la continuación del tratamiento de los síntomas climatéricos, deberá utilizarse en todos los casos la dosis mínima eficaz durante el tiempo de tratamiento lo más corto posible.</w:t>
      </w:r>
    </w:p>
    <w:p w14:paraId="6F803F5A" w14:textId="77777777" w:rsidR="00A92E6F" w:rsidRDefault="00A92E6F">
      <w:pPr>
        <w:pStyle w:val="Textoindependiente"/>
        <w:spacing w:before="4"/>
        <w:rPr>
          <w:sz w:val="25"/>
        </w:rPr>
      </w:pPr>
    </w:p>
    <w:p w14:paraId="6F803F5B" w14:textId="77777777" w:rsidR="00A92E6F" w:rsidRDefault="00B07FFE">
      <w:pPr>
        <w:pStyle w:val="Textoindependiente"/>
        <w:spacing w:line="276" w:lineRule="auto"/>
        <w:ind w:left="217" w:right="721"/>
      </w:pPr>
      <w:r>
        <w:t>En el curso del tratamiento, la dosis debe adaptarse según sea necesario, dependiendo de los signos que indican sobre-estrogenización o pérdida de eficacia.</w:t>
      </w:r>
    </w:p>
    <w:p w14:paraId="6F803F5C" w14:textId="77777777" w:rsidR="00A92E6F" w:rsidRDefault="00A92E6F">
      <w:pPr>
        <w:pStyle w:val="Textoindependiente"/>
        <w:spacing w:before="3"/>
        <w:rPr>
          <w:sz w:val="25"/>
        </w:rPr>
      </w:pPr>
    </w:p>
    <w:p w14:paraId="6F803F5D" w14:textId="77777777" w:rsidR="00A92E6F" w:rsidRDefault="00B07FFE">
      <w:pPr>
        <w:pStyle w:val="Textoindependiente"/>
        <w:ind w:left="217"/>
      </w:pPr>
      <w:r>
        <w:t>Para la terapia de mantenimiento debe utilizarse la dosis mínima eficaz.</w:t>
      </w:r>
    </w:p>
    <w:p w14:paraId="6F803F5E" w14:textId="77777777" w:rsidR="00A92E6F" w:rsidRDefault="00B07FFE">
      <w:pPr>
        <w:pStyle w:val="Textoindependiente"/>
        <w:spacing w:before="37" w:line="278" w:lineRule="auto"/>
        <w:ind w:left="217"/>
      </w:pPr>
      <w:r>
        <w:t xml:space="preserve">Para el tratamiento de la osteoporosis se recomienda el uso de parches de 50, 75 ó 100 microgramos. No se superará la dosis de 100 </w:t>
      </w:r>
      <w:r>
        <w:rPr>
          <w:rFonts w:ascii="Symbol" w:hAnsi="Symbol"/>
        </w:rPr>
        <w:t></w:t>
      </w:r>
      <w:r>
        <w:t>g de estradiol/24 horas.</w:t>
      </w:r>
    </w:p>
    <w:p w14:paraId="6F803F5F" w14:textId="77777777" w:rsidR="00A92E6F" w:rsidRDefault="00B07FFE">
      <w:pPr>
        <w:pStyle w:val="Textoindependiente"/>
        <w:ind w:left="217" w:right="721"/>
      </w:pPr>
      <w:r>
        <w:t>No se dispone de datos suficientes para controlar el ajuste de dosis en pacientes con insuficiencia renal o hepática grave.</w:t>
      </w:r>
    </w:p>
    <w:p w14:paraId="6F803F60" w14:textId="77777777" w:rsidR="00A92E6F" w:rsidRDefault="00A92E6F">
      <w:pPr>
        <w:sectPr w:rsidR="00A92E6F">
          <w:pgSz w:w="11910" w:h="16840"/>
          <w:pgMar w:top="60" w:right="520" w:bottom="980" w:left="1060" w:header="0" w:footer="714" w:gutter="0"/>
          <w:cols w:space="720"/>
        </w:sectPr>
      </w:pPr>
    </w:p>
    <w:p w14:paraId="6F803F61" w14:textId="54BB3682" w:rsidR="00A92E6F" w:rsidRDefault="00A92E6F">
      <w:pPr>
        <w:pStyle w:val="Textoindependiente"/>
        <w:rPr>
          <w:sz w:val="20"/>
        </w:rPr>
      </w:pPr>
    </w:p>
    <w:p w14:paraId="6F803F62" w14:textId="77777777" w:rsidR="00A92E6F" w:rsidRDefault="00A92E6F">
      <w:pPr>
        <w:pStyle w:val="Textoindependiente"/>
        <w:rPr>
          <w:sz w:val="20"/>
        </w:rPr>
      </w:pPr>
    </w:p>
    <w:p w14:paraId="6F803F63" w14:textId="77777777" w:rsidR="00A92E6F" w:rsidRDefault="00A92E6F">
      <w:pPr>
        <w:pStyle w:val="Textoindependiente"/>
        <w:rPr>
          <w:sz w:val="20"/>
        </w:rPr>
      </w:pPr>
    </w:p>
    <w:p w14:paraId="6F803F64" w14:textId="77777777" w:rsidR="00A92E6F" w:rsidRDefault="00A92E6F">
      <w:pPr>
        <w:pStyle w:val="Textoindependiente"/>
        <w:rPr>
          <w:sz w:val="20"/>
        </w:rPr>
      </w:pPr>
    </w:p>
    <w:p w14:paraId="6F803F65" w14:textId="77777777" w:rsidR="00A92E6F" w:rsidRDefault="00A92E6F">
      <w:pPr>
        <w:pStyle w:val="Textoindependiente"/>
        <w:spacing w:before="8"/>
        <w:rPr>
          <w:sz w:val="15"/>
        </w:rPr>
      </w:pPr>
    </w:p>
    <w:p w14:paraId="6F803F66" w14:textId="77777777" w:rsidR="00A92E6F" w:rsidRDefault="00B07FFE">
      <w:pPr>
        <w:pStyle w:val="Textoindependiente"/>
        <w:spacing w:before="92" w:line="276" w:lineRule="auto"/>
        <w:ind w:left="217" w:right="619"/>
        <w:jc w:val="both"/>
      </w:pPr>
      <w:r>
        <w:t>La THS se mantendrá solo mientras el beneficio que supone el alivio de los síntomas supere a los riesgos de la</w:t>
      </w:r>
      <w:r>
        <w:rPr>
          <w:spacing w:val="-2"/>
        </w:rPr>
        <w:t xml:space="preserve"> </w:t>
      </w:r>
      <w:r>
        <w:t>THS.</w:t>
      </w:r>
    </w:p>
    <w:p w14:paraId="6F803F67" w14:textId="77777777" w:rsidR="00A92E6F" w:rsidRDefault="00A92E6F">
      <w:pPr>
        <w:pStyle w:val="Textoindependiente"/>
        <w:spacing w:before="2"/>
        <w:rPr>
          <w:sz w:val="25"/>
        </w:rPr>
      </w:pPr>
    </w:p>
    <w:p w14:paraId="6F803F68" w14:textId="77777777" w:rsidR="00A92E6F" w:rsidRDefault="00B07FFE">
      <w:pPr>
        <w:pStyle w:val="Textoindependiente"/>
        <w:spacing w:line="278" w:lineRule="auto"/>
        <w:ind w:left="217" w:right="616"/>
        <w:jc w:val="both"/>
      </w:pPr>
      <w:r>
        <w:t>En pacientes con útero, el estrógeno siempre debe complementarse con la administración secuencial de un progestágeno:</w:t>
      </w:r>
    </w:p>
    <w:p w14:paraId="6F803F69" w14:textId="77777777" w:rsidR="00A92E6F" w:rsidRDefault="00A92E6F">
      <w:pPr>
        <w:pStyle w:val="Textoindependiente"/>
        <w:spacing w:before="10"/>
        <w:rPr>
          <w:sz w:val="24"/>
        </w:rPr>
      </w:pPr>
    </w:p>
    <w:p w14:paraId="6F803F6A" w14:textId="77777777" w:rsidR="00A92E6F" w:rsidRDefault="00B07FFE">
      <w:pPr>
        <w:pStyle w:val="Textoindependiente"/>
        <w:spacing w:line="276" w:lineRule="auto"/>
        <w:ind w:left="217" w:right="614"/>
        <w:jc w:val="both"/>
      </w:pPr>
      <w:r>
        <w:t>Durante el tratamiento continuado con EVOPAD se recomienda la utilización concomitante de un progestágeno durante 12 a 14 días consecutivos en el mes/ciclo de 28 días.</w:t>
      </w:r>
    </w:p>
    <w:p w14:paraId="6F803F6B" w14:textId="77777777" w:rsidR="00A92E6F" w:rsidRDefault="00A92E6F">
      <w:pPr>
        <w:pStyle w:val="Textoindependiente"/>
        <w:spacing w:before="5"/>
        <w:rPr>
          <w:sz w:val="25"/>
        </w:rPr>
      </w:pPr>
    </w:p>
    <w:p w14:paraId="6F803F6C" w14:textId="77777777" w:rsidR="00A92E6F" w:rsidRDefault="00B07FFE">
      <w:pPr>
        <w:pStyle w:val="Textoindependiente"/>
        <w:spacing w:line="276" w:lineRule="auto"/>
        <w:ind w:left="217" w:right="608"/>
        <w:jc w:val="both"/>
      </w:pPr>
      <w:r>
        <w:t>Durante el tratamiento cíclico de 21 días con EVOPAD se recomienda la utilización concomitante de un progestágeno durante los últimos 12 ó 14 días de ciclo (por ejemplo, comienzo en el día 8 u 10 del ciclo).</w:t>
      </w:r>
    </w:p>
    <w:p w14:paraId="6F803F6D" w14:textId="77777777" w:rsidR="00A92E6F" w:rsidRDefault="00A92E6F">
      <w:pPr>
        <w:pStyle w:val="Textoindependiente"/>
        <w:spacing w:before="1"/>
        <w:rPr>
          <w:sz w:val="25"/>
        </w:rPr>
      </w:pPr>
    </w:p>
    <w:p w14:paraId="6F803F6E" w14:textId="77777777" w:rsidR="00A92E6F" w:rsidRDefault="00B07FFE">
      <w:pPr>
        <w:pStyle w:val="Textoindependiente"/>
        <w:spacing w:before="1" w:line="278" w:lineRule="auto"/>
        <w:ind w:left="217" w:right="616"/>
        <w:jc w:val="both"/>
      </w:pPr>
      <w:r>
        <w:t>La terapia hormonal sustitutiva (THS) debe continuarse sólo mientras los beneficios superen los riesgos para la paciente.</w:t>
      </w:r>
    </w:p>
    <w:p w14:paraId="6F803F6F" w14:textId="77777777" w:rsidR="00A92E6F" w:rsidRDefault="00A92E6F">
      <w:pPr>
        <w:pStyle w:val="Textoindependiente"/>
        <w:spacing w:before="11"/>
        <w:rPr>
          <w:sz w:val="24"/>
        </w:rPr>
      </w:pPr>
    </w:p>
    <w:p w14:paraId="6F803F70" w14:textId="77777777" w:rsidR="00A92E6F" w:rsidRDefault="00B07FFE">
      <w:pPr>
        <w:pStyle w:val="Textoindependiente"/>
        <w:spacing w:line="276" w:lineRule="auto"/>
        <w:ind w:left="217" w:right="615"/>
        <w:jc w:val="both"/>
      </w:pPr>
      <w:r>
        <w:t>No se recomienda añadir un progestágeno en mujeres histerectomizadas, a no ser que exista un diagnóstico previo de endometriosis.</w:t>
      </w:r>
    </w:p>
    <w:p w14:paraId="6F803F71" w14:textId="77777777" w:rsidR="00A92E6F" w:rsidRDefault="00A92E6F">
      <w:pPr>
        <w:pStyle w:val="Textoindependiente"/>
        <w:spacing w:before="4"/>
        <w:rPr>
          <w:sz w:val="25"/>
        </w:rPr>
      </w:pPr>
    </w:p>
    <w:p w14:paraId="6F803F72" w14:textId="77777777" w:rsidR="00A92E6F" w:rsidRDefault="00B07FFE">
      <w:pPr>
        <w:pStyle w:val="Textoindependiente"/>
        <w:ind w:left="217"/>
        <w:jc w:val="both"/>
      </w:pPr>
      <w:r>
        <w:t>El sangrado vaginal se produce normalmente después de empezar el tratamiento con el progestágeno.</w:t>
      </w:r>
    </w:p>
    <w:p w14:paraId="6F803F73" w14:textId="77777777" w:rsidR="00A92E6F" w:rsidRDefault="00A92E6F">
      <w:pPr>
        <w:pStyle w:val="Textoindependiente"/>
        <w:spacing w:before="6"/>
        <w:rPr>
          <w:sz w:val="28"/>
        </w:rPr>
      </w:pPr>
    </w:p>
    <w:p w14:paraId="6F803F74" w14:textId="77777777" w:rsidR="00A92E6F" w:rsidRDefault="00B07FFE">
      <w:pPr>
        <w:ind w:left="217"/>
        <w:jc w:val="both"/>
        <w:rPr>
          <w:i/>
        </w:rPr>
      </w:pPr>
      <w:r>
        <w:rPr>
          <w:i/>
        </w:rPr>
        <w:t>Población pediátrica</w:t>
      </w:r>
    </w:p>
    <w:p w14:paraId="6F803F75" w14:textId="77777777" w:rsidR="00A92E6F" w:rsidRDefault="00B07FFE">
      <w:pPr>
        <w:pStyle w:val="Textoindependiente"/>
        <w:spacing w:before="37"/>
        <w:ind w:left="217"/>
        <w:jc w:val="both"/>
      </w:pPr>
      <w:r>
        <w:t>EVOPAD no está indicado en niños.</w:t>
      </w:r>
    </w:p>
    <w:p w14:paraId="6F803F76" w14:textId="77777777" w:rsidR="00A92E6F" w:rsidRDefault="00A92E6F">
      <w:pPr>
        <w:pStyle w:val="Textoindependiente"/>
        <w:spacing w:before="9"/>
        <w:rPr>
          <w:sz w:val="28"/>
        </w:rPr>
      </w:pPr>
    </w:p>
    <w:p w14:paraId="6F803F77" w14:textId="77777777" w:rsidR="00A92E6F" w:rsidRDefault="00B07FFE">
      <w:pPr>
        <w:ind w:left="217"/>
        <w:jc w:val="both"/>
        <w:rPr>
          <w:i/>
        </w:rPr>
      </w:pPr>
      <w:r>
        <w:rPr>
          <w:i/>
        </w:rPr>
        <w:t>Pacientes de edad avanzada</w:t>
      </w:r>
    </w:p>
    <w:p w14:paraId="6F803F78" w14:textId="77777777" w:rsidR="00A92E6F" w:rsidRDefault="00B07FFE">
      <w:pPr>
        <w:pStyle w:val="Textoindependiente"/>
        <w:spacing w:before="37"/>
        <w:ind w:left="217"/>
        <w:jc w:val="both"/>
      </w:pPr>
      <w:r>
        <w:t>No hay datos suficientes en lo que se refiere al uso de EVOPAD en ancianos (mayores de 65 años).</w:t>
      </w:r>
    </w:p>
    <w:p w14:paraId="6F803F79" w14:textId="77777777" w:rsidR="00A92E6F" w:rsidRDefault="00A92E6F">
      <w:pPr>
        <w:pStyle w:val="Textoindependiente"/>
        <w:spacing w:before="6"/>
        <w:rPr>
          <w:sz w:val="28"/>
        </w:rPr>
      </w:pPr>
    </w:p>
    <w:p w14:paraId="6F803F7A" w14:textId="77777777" w:rsidR="00A92E6F" w:rsidRDefault="00B07FFE">
      <w:pPr>
        <w:pStyle w:val="Textoindependiente"/>
        <w:ind w:left="217"/>
        <w:jc w:val="both"/>
      </w:pPr>
      <w:r>
        <w:rPr>
          <w:u w:val="single"/>
        </w:rPr>
        <w:t>Forma de administración</w:t>
      </w:r>
    </w:p>
    <w:p w14:paraId="6F803F7B" w14:textId="77777777" w:rsidR="00A92E6F" w:rsidRDefault="00B07FFE">
      <w:pPr>
        <w:pStyle w:val="Textoindependiente"/>
        <w:spacing w:before="40" w:line="276" w:lineRule="auto"/>
        <w:ind w:left="217" w:right="609"/>
        <w:jc w:val="both"/>
      </w:pPr>
      <w:r>
        <w:t>El parche EVOPAD debe aplicarse en una zona limpia, seca, sana e intacta de la piel del tronco, por debajo de la cintura. Las cremas, lociones o polvos pueden afectar a las propiedades adherentes del parche. El parche no debe aplicarse en las mamas ni cerca de ellas. Hay que rotar la zona de aplicación; debe transcurrir una semana como mínimo para repetir la aplicación en un punto concreto. La zona de piel elegida no podrá estar herida ni irritada. No se debe aplicar en la zona de la cintura, pues se puede rozar demasiado el parche.</w:t>
      </w:r>
    </w:p>
    <w:p w14:paraId="6F803F7C" w14:textId="77777777" w:rsidR="00A92E6F" w:rsidRDefault="00A92E6F">
      <w:pPr>
        <w:pStyle w:val="Textoindependiente"/>
        <w:spacing w:before="2"/>
        <w:rPr>
          <w:sz w:val="25"/>
        </w:rPr>
      </w:pPr>
    </w:p>
    <w:p w14:paraId="6F803F7D" w14:textId="77777777" w:rsidR="00A92E6F" w:rsidRDefault="00B07FFE">
      <w:pPr>
        <w:pStyle w:val="Textoindependiente"/>
        <w:spacing w:line="276" w:lineRule="auto"/>
        <w:ind w:left="217" w:right="608"/>
        <w:jc w:val="both"/>
      </w:pPr>
      <w:r>
        <w:t xml:space="preserve">El parche debe ser utilizado inmediatamente después de abrir la bolsita. Retire una parte de la lámina protectora. Aplique la zona expuesta del adhesivo al punto de aplicación, desde el borde hacia el centro; evite que el parche se arrugue. Se retira la segunda parte de la lámina protectora y se aplica </w:t>
      </w:r>
      <w:r>
        <w:rPr>
          <w:spacing w:val="5"/>
        </w:rPr>
        <w:t xml:space="preserve">la </w:t>
      </w:r>
      <w:r>
        <w:t>parte del parche recién destapada. Siga evitando que se arrugue el parche y utilice la palma de la mano para presionar el parche sobre la piel y para que adopte la temperatura de la piel, a la que el efecto de adhesión es</w:t>
      </w:r>
      <w:r>
        <w:rPr>
          <w:spacing w:val="-1"/>
        </w:rPr>
        <w:t xml:space="preserve"> </w:t>
      </w:r>
      <w:r>
        <w:t>óptimo.</w:t>
      </w:r>
    </w:p>
    <w:p w14:paraId="6F803F7E" w14:textId="77777777" w:rsidR="00A92E6F" w:rsidRDefault="00A92E6F">
      <w:pPr>
        <w:pStyle w:val="Textoindependiente"/>
        <w:spacing w:before="5"/>
        <w:rPr>
          <w:sz w:val="25"/>
        </w:rPr>
      </w:pPr>
    </w:p>
    <w:p w14:paraId="6F803F7F" w14:textId="77777777" w:rsidR="00A92E6F" w:rsidRDefault="00B07FFE">
      <w:pPr>
        <w:pStyle w:val="Textoindependiente"/>
        <w:spacing w:before="1"/>
        <w:ind w:left="217"/>
      </w:pPr>
      <w:r>
        <w:t>El paciente debe evitar el contacto entre los dedos y la parte adhesiva del parche durante la aplicación.</w:t>
      </w:r>
    </w:p>
    <w:p w14:paraId="6F803F80" w14:textId="77777777" w:rsidR="00A92E6F" w:rsidRDefault="00A92E6F">
      <w:pPr>
        <w:pStyle w:val="Textoindependiente"/>
        <w:spacing w:before="5"/>
        <w:rPr>
          <w:sz w:val="28"/>
        </w:rPr>
      </w:pPr>
    </w:p>
    <w:p w14:paraId="6F803F81" w14:textId="77777777" w:rsidR="00A92E6F" w:rsidRDefault="00B07FFE">
      <w:pPr>
        <w:pStyle w:val="Textoindependiente"/>
        <w:spacing w:line="276" w:lineRule="auto"/>
        <w:ind w:left="217" w:right="610"/>
        <w:jc w:val="both"/>
      </w:pPr>
      <w:r>
        <w:t>Si se desprende un parche y no se adhiere adecuadamente a la piel, debe ser sustituido inmediatamente por otro nuevo. No obstante se mantendrán el día normal de sustitución del parche. No es necesario quitarse el parche para bañarse o ducharse. Pero se recomienda retirarlo antes de tomar una sauna, y poner uno nuevo inmediatamente después si el anterior no se adhiere adecuadamente.</w:t>
      </w:r>
    </w:p>
    <w:p w14:paraId="6F803F82" w14:textId="77777777" w:rsidR="00A92E6F" w:rsidRDefault="00A92E6F">
      <w:pPr>
        <w:spacing w:line="276" w:lineRule="auto"/>
        <w:jc w:val="both"/>
        <w:sectPr w:rsidR="00A92E6F">
          <w:pgSz w:w="11910" w:h="16840"/>
          <w:pgMar w:top="60" w:right="520" w:bottom="980" w:left="1060" w:header="0" w:footer="714" w:gutter="0"/>
          <w:cols w:space="720"/>
        </w:sectPr>
      </w:pPr>
    </w:p>
    <w:p w14:paraId="6F803F83" w14:textId="174888F7" w:rsidR="00A92E6F" w:rsidRDefault="00A92E6F">
      <w:pPr>
        <w:pStyle w:val="Textoindependiente"/>
        <w:rPr>
          <w:sz w:val="20"/>
        </w:rPr>
      </w:pPr>
    </w:p>
    <w:p w14:paraId="6F803F84" w14:textId="77777777" w:rsidR="00A92E6F" w:rsidRDefault="00A92E6F">
      <w:pPr>
        <w:pStyle w:val="Textoindependiente"/>
        <w:rPr>
          <w:sz w:val="20"/>
        </w:rPr>
      </w:pPr>
    </w:p>
    <w:p w14:paraId="6F803F85" w14:textId="77777777" w:rsidR="00A92E6F" w:rsidRDefault="00A92E6F">
      <w:pPr>
        <w:pStyle w:val="Textoindependiente"/>
        <w:rPr>
          <w:sz w:val="20"/>
        </w:rPr>
      </w:pPr>
    </w:p>
    <w:p w14:paraId="6F803F86" w14:textId="77777777" w:rsidR="00A92E6F" w:rsidRDefault="00A92E6F">
      <w:pPr>
        <w:pStyle w:val="Textoindependiente"/>
        <w:rPr>
          <w:sz w:val="20"/>
        </w:rPr>
      </w:pPr>
    </w:p>
    <w:p w14:paraId="6F803F87" w14:textId="77777777" w:rsidR="00A92E6F" w:rsidRDefault="00A92E6F">
      <w:pPr>
        <w:pStyle w:val="Textoindependiente"/>
        <w:spacing w:before="8"/>
        <w:rPr>
          <w:sz w:val="15"/>
        </w:rPr>
      </w:pPr>
    </w:p>
    <w:p w14:paraId="6F803F88" w14:textId="77777777" w:rsidR="00A92E6F" w:rsidRDefault="00B07FFE">
      <w:pPr>
        <w:pStyle w:val="Textoindependiente"/>
        <w:spacing w:before="92" w:line="276" w:lineRule="auto"/>
        <w:ind w:left="217" w:right="611"/>
        <w:jc w:val="both"/>
      </w:pPr>
      <w:r>
        <w:t>Si se produce el olvido del cambio o aplicación de un parche, éste debe cambiarse o aplicarse lo más pronto posible y continuar el tratamiento de acuerdo al ciclo previsto inicialmente.</w:t>
      </w:r>
    </w:p>
    <w:p w14:paraId="6F803F89" w14:textId="77777777" w:rsidR="00A92E6F" w:rsidRDefault="00B07FFE">
      <w:pPr>
        <w:pStyle w:val="Textoindependiente"/>
        <w:spacing w:line="554" w:lineRule="auto"/>
        <w:ind w:left="217" w:right="1503"/>
      </w:pPr>
      <w:r>
        <w:t>El olvido de una dosis puede incrementar la posibilidad de sangrado y manchado durante el ciclo. Para retirar el parche de EVOPAD levante un borde y tire con suavidad (ver sección 6.6).</w:t>
      </w:r>
    </w:p>
    <w:p w14:paraId="6F803F8A" w14:textId="77777777" w:rsidR="00A92E6F" w:rsidRDefault="00B07FFE">
      <w:pPr>
        <w:pStyle w:val="Textoindependiente"/>
        <w:ind w:left="217" w:right="966"/>
      </w:pPr>
      <w:r>
        <w:t>Si queda adhesivo sobre la piel después de retirar el parche EVOPAD puede eliminarse lavando la zona con agua y jabón, o frotando con los dedos.</w:t>
      </w:r>
    </w:p>
    <w:p w14:paraId="6F803F8B" w14:textId="77777777" w:rsidR="00A92E6F" w:rsidRDefault="00B07FFE">
      <w:pPr>
        <w:pStyle w:val="Ttulo1"/>
        <w:numPr>
          <w:ilvl w:val="1"/>
          <w:numId w:val="5"/>
        </w:numPr>
        <w:tabs>
          <w:tab w:val="left" w:pos="549"/>
        </w:tabs>
        <w:spacing w:before="199"/>
        <w:ind w:hanging="331"/>
        <w:jc w:val="both"/>
      </w:pPr>
      <w:r>
        <w:t>Contraindicaciones</w:t>
      </w:r>
    </w:p>
    <w:p w14:paraId="6F803F8C" w14:textId="77777777" w:rsidR="00A92E6F" w:rsidRDefault="00A92E6F">
      <w:pPr>
        <w:pStyle w:val="Textoindependiente"/>
        <w:spacing w:before="2"/>
        <w:rPr>
          <w:b/>
          <w:sz w:val="20"/>
        </w:rPr>
      </w:pPr>
    </w:p>
    <w:p w14:paraId="6F803F8D" w14:textId="77777777" w:rsidR="00A92E6F" w:rsidRDefault="00B07FFE">
      <w:pPr>
        <w:pStyle w:val="Prrafodelista"/>
        <w:numPr>
          <w:ilvl w:val="2"/>
          <w:numId w:val="5"/>
        </w:numPr>
        <w:tabs>
          <w:tab w:val="left" w:pos="784"/>
        </w:tabs>
        <w:spacing w:line="269" w:lineRule="exact"/>
        <w:ind w:hanging="240"/>
      </w:pPr>
      <w:r>
        <w:t>Hipersensibilidad al principio activo o a alguno de los excipientes incluidos en la sección</w:t>
      </w:r>
      <w:r>
        <w:rPr>
          <w:spacing w:val="-19"/>
        </w:rPr>
        <w:t xml:space="preserve"> </w:t>
      </w:r>
      <w:r>
        <w:t>6.1</w:t>
      </w:r>
    </w:p>
    <w:p w14:paraId="6F803F8E" w14:textId="77777777" w:rsidR="00A92E6F" w:rsidRDefault="00B07FFE">
      <w:pPr>
        <w:pStyle w:val="Prrafodelista"/>
        <w:numPr>
          <w:ilvl w:val="2"/>
          <w:numId w:val="5"/>
        </w:numPr>
        <w:tabs>
          <w:tab w:val="left" w:pos="784"/>
        </w:tabs>
        <w:spacing w:line="269" w:lineRule="exact"/>
        <w:ind w:hanging="240"/>
      </w:pPr>
      <w:r>
        <w:t>Cáncer de mama, antecedentes personales o sospecha del</w:t>
      </w:r>
      <w:r>
        <w:rPr>
          <w:spacing w:val="-7"/>
        </w:rPr>
        <w:t xml:space="preserve"> </w:t>
      </w:r>
      <w:r>
        <w:t>mismo;</w:t>
      </w:r>
    </w:p>
    <w:p w14:paraId="6F803F8F" w14:textId="77777777" w:rsidR="00A92E6F" w:rsidRDefault="00B07FFE">
      <w:pPr>
        <w:pStyle w:val="Prrafodelista"/>
        <w:numPr>
          <w:ilvl w:val="2"/>
          <w:numId w:val="5"/>
        </w:numPr>
        <w:tabs>
          <w:tab w:val="left" w:pos="784"/>
        </w:tabs>
        <w:spacing w:line="269" w:lineRule="exact"/>
        <w:ind w:hanging="240"/>
      </w:pPr>
      <w:r>
        <w:t>Tumores estrógeno dependientes malignos o sospecha de los mismos (p.ej. cáncer de</w:t>
      </w:r>
      <w:r>
        <w:rPr>
          <w:spacing w:val="-12"/>
        </w:rPr>
        <w:t xml:space="preserve"> </w:t>
      </w:r>
      <w:r>
        <w:t>endometrio)</w:t>
      </w:r>
    </w:p>
    <w:p w14:paraId="6F803F90" w14:textId="77777777" w:rsidR="00A92E6F" w:rsidRDefault="00B07FFE">
      <w:pPr>
        <w:pStyle w:val="Prrafodelista"/>
        <w:numPr>
          <w:ilvl w:val="2"/>
          <w:numId w:val="5"/>
        </w:numPr>
        <w:tabs>
          <w:tab w:val="left" w:pos="784"/>
        </w:tabs>
        <w:spacing w:line="269" w:lineRule="exact"/>
        <w:ind w:hanging="240"/>
      </w:pPr>
      <w:r>
        <w:t>Hemorragia genital no diagnosticada;</w:t>
      </w:r>
    </w:p>
    <w:p w14:paraId="6F803F91" w14:textId="77777777" w:rsidR="00A92E6F" w:rsidRDefault="00B07FFE">
      <w:pPr>
        <w:pStyle w:val="Prrafodelista"/>
        <w:numPr>
          <w:ilvl w:val="2"/>
          <w:numId w:val="5"/>
        </w:numPr>
        <w:tabs>
          <w:tab w:val="left" w:pos="784"/>
        </w:tabs>
        <w:spacing w:line="269" w:lineRule="exact"/>
        <w:ind w:hanging="240"/>
      </w:pPr>
      <w:r>
        <w:t>Tumores premalignos (por ejemplo, hiperplasia de endometrio atípica no</w:t>
      </w:r>
      <w:r>
        <w:rPr>
          <w:spacing w:val="-12"/>
        </w:rPr>
        <w:t xml:space="preserve"> </w:t>
      </w:r>
      <w:r>
        <w:t>tratada);</w:t>
      </w:r>
    </w:p>
    <w:p w14:paraId="6F803F92" w14:textId="77777777" w:rsidR="00A92E6F" w:rsidRDefault="00B07FFE">
      <w:pPr>
        <w:pStyle w:val="Prrafodelista"/>
        <w:numPr>
          <w:ilvl w:val="2"/>
          <w:numId w:val="5"/>
        </w:numPr>
        <w:tabs>
          <w:tab w:val="left" w:pos="784"/>
        </w:tabs>
        <w:ind w:right="608" w:hanging="240"/>
      </w:pPr>
      <w:r>
        <w:t>Enfermedad hepática aguda o antecedente de enfermedad hepática mientras las pruebas de función hepática sigan</w:t>
      </w:r>
      <w:r>
        <w:rPr>
          <w:spacing w:val="-1"/>
        </w:rPr>
        <w:t xml:space="preserve"> </w:t>
      </w:r>
      <w:r>
        <w:t>alteradas;</w:t>
      </w:r>
    </w:p>
    <w:p w14:paraId="6F803F93" w14:textId="77777777" w:rsidR="00A92E6F" w:rsidRDefault="00B07FFE">
      <w:pPr>
        <w:pStyle w:val="Prrafodelista"/>
        <w:numPr>
          <w:ilvl w:val="2"/>
          <w:numId w:val="5"/>
        </w:numPr>
        <w:tabs>
          <w:tab w:val="left" w:pos="784"/>
        </w:tabs>
        <w:ind w:right="615" w:hanging="240"/>
      </w:pPr>
      <w:r>
        <w:t>Tromboembolismo venoso (TEV) idiopático o antecedentes del mismo (trombosis venosa profunda, embolismo</w:t>
      </w:r>
      <w:r>
        <w:rPr>
          <w:spacing w:val="-1"/>
        </w:rPr>
        <w:t xml:space="preserve"> </w:t>
      </w:r>
      <w:r>
        <w:t>pulmonar);</w:t>
      </w:r>
    </w:p>
    <w:p w14:paraId="6F803F94" w14:textId="77777777" w:rsidR="00A92E6F" w:rsidRDefault="00B07FFE">
      <w:pPr>
        <w:pStyle w:val="Prrafodelista"/>
        <w:numPr>
          <w:ilvl w:val="2"/>
          <w:numId w:val="5"/>
        </w:numPr>
        <w:tabs>
          <w:tab w:val="left" w:pos="784"/>
        </w:tabs>
        <w:ind w:left="937" w:right="610" w:hanging="360"/>
      </w:pPr>
      <w:r>
        <w:t>Alteración trombofílica conocida (p. ej. deficiencia de proteína C, proteína S o antitrombina, ver sección</w:t>
      </w:r>
      <w:r>
        <w:rPr>
          <w:spacing w:val="-1"/>
        </w:rPr>
        <w:t xml:space="preserve"> </w:t>
      </w:r>
      <w:r>
        <w:t>4.4);</w:t>
      </w:r>
    </w:p>
    <w:p w14:paraId="6F803F95" w14:textId="77777777" w:rsidR="00A92E6F" w:rsidRDefault="00B07FFE">
      <w:pPr>
        <w:pStyle w:val="Prrafodelista"/>
        <w:numPr>
          <w:ilvl w:val="2"/>
          <w:numId w:val="5"/>
        </w:numPr>
        <w:tabs>
          <w:tab w:val="left" w:pos="784"/>
        </w:tabs>
        <w:ind w:left="937" w:right="614" w:hanging="360"/>
      </w:pPr>
      <w:r>
        <w:t>Enfermedad tromboembólica arterial activa o reciente (p.ej. accidente cerebrovascular, infarto de miocardio);</w:t>
      </w:r>
    </w:p>
    <w:p w14:paraId="6F803F96" w14:textId="77777777" w:rsidR="00A92E6F" w:rsidRDefault="00B07FFE">
      <w:pPr>
        <w:pStyle w:val="Prrafodelista"/>
        <w:numPr>
          <w:ilvl w:val="2"/>
          <w:numId w:val="5"/>
        </w:numPr>
        <w:tabs>
          <w:tab w:val="left" w:pos="784"/>
        </w:tabs>
        <w:spacing w:line="268" w:lineRule="exact"/>
        <w:ind w:left="783" w:hanging="206"/>
        <w:rPr>
          <w:rFonts w:ascii="Arial" w:hAnsi="Arial"/>
          <w:i/>
        </w:rPr>
      </w:pPr>
      <w:r>
        <w:t>Porfiria</w:t>
      </w:r>
      <w:r>
        <w:rPr>
          <w:rFonts w:ascii="Arial" w:hAnsi="Arial"/>
          <w:i/>
        </w:rPr>
        <w:t>.</w:t>
      </w:r>
    </w:p>
    <w:p w14:paraId="6F803F97" w14:textId="77777777" w:rsidR="00A92E6F" w:rsidRDefault="00B07FFE">
      <w:pPr>
        <w:pStyle w:val="Ttulo1"/>
        <w:numPr>
          <w:ilvl w:val="1"/>
          <w:numId w:val="5"/>
        </w:numPr>
        <w:tabs>
          <w:tab w:val="left" w:pos="549"/>
        </w:tabs>
        <w:spacing w:before="202"/>
        <w:ind w:hanging="331"/>
        <w:jc w:val="both"/>
      </w:pPr>
      <w:r>
        <w:t>Advertencias y precauciones especiales de</w:t>
      </w:r>
      <w:r>
        <w:rPr>
          <w:spacing w:val="-6"/>
        </w:rPr>
        <w:t xml:space="preserve"> </w:t>
      </w:r>
      <w:r>
        <w:t>empleo</w:t>
      </w:r>
    </w:p>
    <w:p w14:paraId="6F803F98" w14:textId="77777777" w:rsidR="00A92E6F" w:rsidRDefault="00A92E6F">
      <w:pPr>
        <w:pStyle w:val="Textoindependiente"/>
        <w:spacing w:before="4"/>
        <w:rPr>
          <w:b/>
          <w:sz w:val="20"/>
        </w:rPr>
      </w:pPr>
    </w:p>
    <w:p w14:paraId="6F803F99" w14:textId="77777777" w:rsidR="00A92E6F" w:rsidRDefault="00B07FFE">
      <w:pPr>
        <w:pStyle w:val="Textoindependiente"/>
        <w:spacing w:before="1" w:line="276" w:lineRule="auto"/>
        <w:ind w:left="217" w:right="609"/>
        <w:jc w:val="both"/>
      </w:pPr>
      <w:r>
        <w:t>Para el tratamiento de los síntomas climatéricos, la THS solo debe de iniciarse cuando los síntomas afectan negativamente la calidad de vida de la mujer. En todos los casos debe de realizarse, al menos anualmente, una valoración cuidadosa de los riesgos y beneficios y la THS solamente debe de mantenerse mientras los beneficios superen los riesgos.</w:t>
      </w:r>
    </w:p>
    <w:p w14:paraId="6F803F9A" w14:textId="77777777" w:rsidR="00A92E6F" w:rsidRDefault="00A92E6F">
      <w:pPr>
        <w:pStyle w:val="Textoindependiente"/>
        <w:spacing w:before="3"/>
        <w:rPr>
          <w:sz w:val="25"/>
        </w:rPr>
      </w:pPr>
    </w:p>
    <w:p w14:paraId="6F803F9B" w14:textId="77777777" w:rsidR="00A92E6F" w:rsidRDefault="00B07FFE">
      <w:pPr>
        <w:pStyle w:val="Textoindependiente"/>
        <w:spacing w:line="276" w:lineRule="auto"/>
        <w:ind w:left="217" w:right="608"/>
        <w:jc w:val="both"/>
      </w:pPr>
      <w:r>
        <w:t>La evidencia de riesgos asociados al tratamiento hormonal de sustitución (THS) en el tratamiento de la menopausia prematura es limitada. Sin embargo, el balance beneficio riesgo para estas mujeres puede ser más favorable debido al bajo nivel de riesgo absoluto en mujeres jóvenes, que en mujeres maduras.</w:t>
      </w:r>
    </w:p>
    <w:p w14:paraId="6F803F9C" w14:textId="77777777" w:rsidR="00A92E6F" w:rsidRDefault="00A92E6F">
      <w:pPr>
        <w:pStyle w:val="Textoindependiente"/>
        <w:spacing w:before="9"/>
        <w:rPr>
          <w:sz w:val="25"/>
        </w:rPr>
      </w:pPr>
    </w:p>
    <w:p w14:paraId="6F803F9D" w14:textId="77777777" w:rsidR="00A92E6F" w:rsidRDefault="00B07FFE">
      <w:pPr>
        <w:pStyle w:val="Ttulo1"/>
        <w:jc w:val="both"/>
      </w:pPr>
      <w:r>
        <w:rPr>
          <w:u w:val="thick"/>
        </w:rPr>
        <w:t>Examen médico/seguimiento</w:t>
      </w:r>
    </w:p>
    <w:p w14:paraId="6F803F9E" w14:textId="77777777" w:rsidR="00A92E6F" w:rsidRDefault="00B07FFE">
      <w:pPr>
        <w:pStyle w:val="Textoindependiente"/>
        <w:spacing w:before="32" w:line="276" w:lineRule="auto"/>
        <w:ind w:left="217" w:right="615"/>
        <w:jc w:val="both"/>
      </w:pPr>
      <w:r>
        <w:t>Antes de iniciar o reinstaurar el tratamiento hormonal de sustitución (THS) debe realizarse una historia clínica completa personal y familiar. La exploración física (incluyendo mamas y pelvis) debe de tener en cuenta la historia clínica y las contraindicaciones y advertencias de uso de la THS.</w:t>
      </w:r>
    </w:p>
    <w:p w14:paraId="6F803F9F" w14:textId="77777777" w:rsidR="00A92E6F" w:rsidRDefault="00A92E6F">
      <w:pPr>
        <w:pStyle w:val="Textoindependiente"/>
        <w:spacing w:before="4"/>
        <w:rPr>
          <w:sz w:val="25"/>
        </w:rPr>
      </w:pPr>
    </w:p>
    <w:p w14:paraId="6F803FA0" w14:textId="77777777" w:rsidR="00A92E6F" w:rsidRDefault="00B07FFE">
      <w:pPr>
        <w:pStyle w:val="Textoindependiente"/>
        <w:spacing w:line="276" w:lineRule="auto"/>
        <w:ind w:left="217" w:right="616"/>
        <w:jc w:val="both"/>
      </w:pPr>
      <w:r>
        <w:t>Si durante el tratamiento se presentan repetidamente sangrados repentinos, sangrados vaginales inesperados y se detectan cambios durante el examen de las mamas será necesario un nuevo examen médico.</w:t>
      </w:r>
    </w:p>
    <w:p w14:paraId="6F803FA1" w14:textId="77777777" w:rsidR="00A92E6F" w:rsidRDefault="00A92E6F">
      <w:pPr>
        <w:pStyle w:val="Textoindependiente"/>
        <w:spacing w:before="5"/>
        <w:rPr>
          <w:sz w:val="25"/>
        </w:rPr>
      </w:pPr>
    </w:p>
    <w:p w14:paraId="6F803FA2" w14:textId="77777777" w:rsidR="00A92E6F" w:rsidRDefault="00B07FFE">
      <w:pPr>
        <w:pStyle w:val="Textoindependiente"/>
        <w:spacing w:line="276" w:lineRule="auto"/>
        <w:ind w:left="217" w:right="608"/>
        <w:jc w:val="both"/>
      </w:pPr>
      <w:r>
        <w:t>Se recomiendan exámenes médicos regulares durante el tratamiento, cuya naturaleza y frecuencia estarán en función de las condiciones de cada mujer. Debe orientarse a las mujeres acerca de cuales son los cambios que detecten en sus pechos de los que deben informar a su médico o enfermera (ver “cáncer de mama” más adelante). Las exploraciones, incluyendo mamografía, deben realizarse periódicamente de acuerdo con las guías de práctica clínica aceptadas, adaptándolas a las necesidades clínicas de cada</w:t>
      </w:r>
      <w:r>
        <w:rPr>
          <w:spacing w:val="-25"/>
        </w:rPr>
        <w:t xml:space="preserve"> </w:t>
      </w:r>
      <w:r>
        <w:t>caso.</w:t>
      </w:r>
    </w:p>
    <w:p w14:paraId="6F803FA3" w14:textId="77777777" w:rsidR="00A92E6F" w:rsidRDefault="00A92E6F">
      <w:pPr>
        <w:spacing w:line="276" w:lineRule="auto"/>
        <w:jc w:val="both"/>
        <w:sectPr w:rsidR="00A92E6F">
          <w:pgSz w:w="11910" w:h="16840"/>
          <w:pgMar w:top="60" w:right="520" w:bottom="980" w:left="1060" w:header="0" w:footer="714" w:gutter="0"/>
          <w:cols w:space="720"/>
        </w:sectPr>
      </w:pPr>
    </w:p>
    <w:p w14:paraId="6F803FA4" w14:textId="135AA3BF" w:rsidR="00A92E6F" w:rsidRDefault="00A92E6F">
      <w:pPr>
        <w:pStyle w:val="Textoindependiente"/>
        <w:rPr>
          <w:sz w:val="20"/>
        </w:rPr>
      </w:pPr>
    </w:p>
    <w:p w14:paraId="6F803FA5" w14:textId="77777777" w:rsidR="00A92E6F" w:rsidRDefault="00A92E6F">
      <w:pPr>
        <w:pStyle w:val="Textoindependiente"/>
        <w:rPr>
          <w:sz w:val="20"/>
        </w:rPr>
      </w:pPr>
    </w:p>
    <w:p w14:paraId="6F803FA6" w14:textId="77777777" w:rsidR="00A92E6F" w:rsidRDefault="00A92E6F">
      <w:pPr>
        <w:pStyle w:val="Textoindependiente"/>
        <w:rPr>
          <w:sz w:val="20"/>
        </w:rPr>
      </w:pPr>
    </w:p>
    <w:p w14:paraId="6F803FA7" w14:textId="77777777" w:rsidR="00A92E6F" w:rsidRDefault="00A92E6F">
      <w:pPr>
        <w:pStyle w:val="Textoindependiente"/>
        <w:rPr>
          <w:sz w:val="20"/>
        </w:rPr>
      </w:pPr>
    </w:p>
    <w:p w14:paraId="6F803FA8" w14:textId="77777777" w:rsidR="00A92E6F" w:rsidRDefault="00A92E6F">
      <w:pPr>
        <w:pStyle w:val="Textoindependiente"/>
        <w:spacing w:before="8"/>
        <w:rPr>
          <w:sz w:val="15"/>
        </w:rPr>
      </w:pPr>
    </w:p>
    <w:p w14:paraId="6F803FA9" w14:textId="77777777" w:rsidR="00A92E6F" w:rsidRDefault="00B07FFE">
      <w:pPr>
        <w:pStyle w:val="Textoindependiente"/>
        <w:spacing w:before="92"/>
        <w:ind w:left="217"/>
      </w:pPr>
      <w:r>
        <w:t>Se deberá siempre considerar la administración de la menor dosis y la duración de tratamiento más corta.</w:t>
      </w:r>
    </w:p>
    <w:p w14:paraId="6F803FAA" w14:textId="77777777" w:rsidR="00A92E6F" w:rsidRDefault="00A92E6F">
      <w:pPr>
        <w:pStyle w:val="Textoindependiente"/>
        <w:spacing w:before="6"/>
        <w:rPr>
          <w:sz w:val="28"/>
        </w:rPr>
      </w:pPr>
    </w:p>
    <w:p w14:paraId="6F803FAB" w14:textId="77777777" w:rsidR="00A92E6F" w:rsidRDefault="00B07FFE">
      <w:pPr>
        <w:pStyle w:val="Textoindependiente"/>
        <w:spacing w:line="276" w:lineRule="auto"/>
        <w:ind w:left="217" w:right="721"/>
      </w:pPr>
      <w:r>
        <w:t>Las mujeres histerectomizadas que requieren terapia hormonal postmenopáusica deberán recibir tratamiento sustitutivo con estrógenos solos a no ser que exista un diagnóstico de</w:t>
      </w:r>
      <w:r>
        <w:rPr>
          <w:spacing w:val="-17"/>
        </w:rPr>
        <w:t xml:space="preserve"> </w:t>
      </w:r>
      <w:r>
        <w:t>endometriosis.</w:t>
      </w:r>
    </w:p>
    <w:p w14:paraId="6F803FAC" w14:textId="77777777" w:rsidR="00A92E6F" w:rsidRDefault="00A92E6F">
      <w:pPr>
        <w:pStyle w:val="Textoindependiente"/>
        <w:rPr>
          <w:sz w:val="24"/>
        </w:rPr>
      </w:pPr>
    </w:p>
    <w:p w14:paraId="6F803FAD" w14:textId="77777777" w:rsidR="00A92E6F" w:rsidRDefault="00A92E6F">
      <w:pPr>
        <w:pStyle w:val="Textoindependiente"/>
        <w:rPr>
          <w:sz w:val="27"/>
        </w:rPr>
      </w:pPr>
    </w:p>
    <w:p w14:paraId="6F803FAE" w14:textId="77777777" w:rsidR="00A92E6F" w:rsidRDefault="00B07FFE">
      <w:pPr>
        <w:pStyle w:val="Ttulo1"/>
      </w:pPr>
      <w:r>
        <w:rPr>
          <w:u w:val="thick"/>
        </w:rPr>
        <w:t>Condiciones que requieren una supervisión</w:t>
      </w:r>
    </w:p>
    <w:p w14:paraId="6F803FAF" w14:textId="77777777" w:rsidR="00A92E6F" w:rsidRDefault="00A92E6F">
      <w:pPr>
        <w:pStyle w:val="Textoindependiente"/>
        <w:spacing w:before="2"/>
        <w:rPr>
          <w:b/>
          <w:sz w:val="20"/>
        </w:rPr>
      </w:pPr>
    </w:p>
    <w:p w14:paraId="6F803FB0" w14:textId="77777777" w:rsidR="00A92E6F" w:rsidRDefault="00B07FFE">
      <w:pPr>
        <w:pStyle w:val="Textoindependiente"/>
        <w:spacing w:before="91" w:line="278" w:lineRule="auto"/>
        <w:ind w:left="217" w:right="616"/>
        <w:jc w:val="both"/>
      </w:pPr>
      <w:r>
        <w:t>Si aparece cualquiera de estas situaciones o ha ocurrido previamente y/o se han agravado durante el embarazo o durante un tratamiento hormonal previo debe vigilarse estrechamente a la paciente.</w:t>
      </w:r>
    </w:p>
    <w:p w14:paraId="6F803FB1" w14:textId="77777777" w:rsidR="00A92E6F" w:rsidRDefault="00A92E6F">
      <w:pPr>
        <w:pStyle w:val="Textoindependiente"/>
        <w:spacing w:before="9"/>
        <w:rPr>
          <w:sz w:val="24"/>
        </w:rPr>
      </w:pPr>
    </w:p>
    <w:p w14:paraId="6F803FB2" w14:textId="77777777" w:rsidR="00A92E6F" w:rsidRDefault="00B07FFE">
      <w:pPr>
        <w:pStyle w:val="Prrafodelista"/>
        <w:numPr>
          <w:ilvl w:val="2"/>
          <w:numId w:val="5"/>
        </w:numPr>
        <w:tabs>
          <w:tab w:val="left" w:pos="784"/>
        </w:tabs>
        <w:spacing w:before="1" w:line="269" w:lineRule="exact"/>
        <w:ind w:left="783" w:hanging="206"/>
      </w:pPr>
      <w:r>
        <w:t>Leiomioma (fibroma uterino) o</w:t>
      </w:r>
      <w:r>
        <w:rPr>
          <w:spacing w:val="-1"/>
        </w:rPr>
        <w:t xml:space="preserve"> </w:t>
      </w:r>
      <w:r>
        <w:t>endometriosis</w:t>
      </w:r>
    </w:p>
    <w:p w14:paraId="6F803FB3" w14:textId="77777777" w:rsidR="00A92E6F" w:rsidRDefault="00B07FFE">
      <w:pPr>
        <w:pStyle w:val="Prrafodelista"/>
        <w:numPr>
          <w:ilvl w:val="2"/>
          <w:numId w:val="5"/>
        </w:numPr>
        <w:tabs>
          <w:tab w:val="left" w:pos="784"/>
        </w:tabs>
        <w:spacing w:line="269" w:lineRule="exact"/>
        <w:ind w:left="783" w:hanging="206"/>
      </w:pPr>
      <w:r>
        <w:t>Antecedentes o factores de riesgo para trastornos tromboembólicos (ver a</w:t>
      </w:r>
      <w:r>
        <w:rPr>
          <w:spacing w:val="-15"/>
        </w:rPr>
        <w:t xml:space="preserve"> </w:t>
      </w:r>
      <w:r>
        <w:t>continuación)</w:t>
      </w:r>
    </w:p>
    <w:p w14:paraId="6F803FB4" w14:textId="77777777" w:rsidR="00A92E6F" w:rsidRDefault="00B07FFE">
      <w:pPr>
        <w:pStyle w:val="Prrafodelista"/>
        <w:numPr>
          <w:ilvl w:val="2"/>
          <w:numId w:val="5"/>
        </w:numPr>
        <w:tabs>
          <w:tab w:val="left" w:pos="784"/>
        </w:tabs>
        <w:ind w:left="783" w:right="615" w:hanging="206"/>
      </w:pPr>
      <w:r>
        <w:t>Factores de riesgo para tumores estrógeno dependientes, p.ej. cáncer de mama en familiares de primer grado</w:t>
      </w:r>
    </w:p>
    <w:p w14:paraId="6F803FB5" w14:textId="77777777" w:rsidR="00A92E6F" w:rsidRDefault="00B07FFE">
      <w:pPr>
        <w:pStyle w:val="Prrafodelista"/>
        <w:numPr>
          <w:ilvl w:val="2"/>
          <w:numId w:val="5"/>
        </w:numPr>
        <w:tabs>
          <w:tab w:val="left" w:pos="784"/>
        </w:tabs>
        <w:spacing w:line="268" w:lineRule="exact"/>
        <w:ind w:left="783" w:hanging="206"/>
      </w:pPr>
      <w:r>
        <w:t>Hipertensión</w:t>
      </w:r>
      <w:r>
        <w:rPr>
          <w:spacing w:val="-4"/>
        </w:rPr>
        <w:t xml:space="preserve"> </w:t>
      </w:r>
      <w:r>
        <w:t>arterial</w:t>
      </w:r>
    </w:p>
    <w:p w14:paraId="6F803FB6" w14:textId="77777777" w:rsidR="00A92E6F" w:rsidRDefault="00B07FFE">
      <w:pPr>
        <w:pStyle w:val="Prrafodelista"/>
        <w:numPr>
          <w:ilvl w:val="2"/>
          <w:numId w:val="5"/>
        </w:numPr>
        <w:tabs>
          <w:tab w:val="left" w:pos="784"/>
        </w:tabs>
        <w:spacing w:line="269" w:lineRule="exact"/>
        <w:ind w:left="783" w:hanging="206"/>
      </w:pPr>
      <w:r>
        <w:t>Trastornos hepáticos (p. ej. adenoma</w:t>
      </w:r>
      <w:r>
        <w:rPr>
          <w:spacing w:val="-14"/>
        </w:rPr>
        <w:t xml:space="preserve"> </w:t>
      </w:r>
      <w:r>
        <w:t>hepático)</w:t>
      </w:r>
    </w:p>
    <w:p w14:paraId="6F803FB7" w14:textId="77777777" w:rsidR="00A92E6F" w:rsidRDefault="00B07FFE">
      <w:pPr>
        <w:pStyle w:val="Prrafodelista"/>
        <w:numPr>
          <w:ilvl w:val="2"/>
          <w:numId w:val="5"/>
        </w:numPr>
        <w:tabs>
          <w:tab w:val="left" w:pos="784"/>
        </w:tabs>
        <w:spacing w:line="269" w:lineRule="exact"/>
        <w:ind w:left="783" w:hanging="206"/>
      </w:pPr>
      <w:r>
        <w:t>Diabetes mellitus con o sin afectación</w:t>
      </w:r>
      <w:r>
        <w:rPr>
          <w:spacing w:val="-14"/>
        </w:rPr>
        <w:t xml:space="preserve"> </w:t>
      </w:r>
      <w:r>
        <w:t>vascular</w:t>
      </w:r>
    </w:p>
    <w:p w14:paraId="6F803FB8" w14:textId="77777777" w:rsidR="00A92E6F" w:rsidRDefault="00B07FFE">
      <w:pPr>
        <w:pStyle w:val="Prrafodelista"/>
        <w:numPr>
          <w:ilvl w:val="2"/>
          <w:numId w:val="5"/>
        </w:numPr>
        <w:tabs>
          <w:tab w:val="left" w:pos="784"/>
        </w:tabs>
        <w:spacing w:line="269" w:lineRule="exact"/>
        <w:ind w:left="783" w:hanging="206"/>
      </w:pPr>
      <w:r>
        <w:t>Colelitiasis</w:t>
      </w:r>
    </w:p>
    <w:p w14:paraId="6F803FB9" w14:textId="77777777" w:rsidR="00A92E6F" w:rsidRDefault="00B07FFE">
      <w:pPr>
        <w:pStyle w:val="Prrafodelista"/>
        <w:numPr>
          <w:ilvl w:val="2"/>
          <w:numId w:val="5"/>
        </w:numPr>
        <w:tabs>
          <w:tab w:val="left" w:pos="784"/>
        </w:tabs>
        <w:spacing w:line="269" w:lineRule="exact"/>
        <w:ind w:left="783" w:hanging="206"/>
      </w:pPr>
      <w:r>
        <w:t>Migraña o cefalea</w:t>
      </w:r>
      <w:r>
        <w:rPr>
          <w:spacing w:val="-5"/>
        </w:rPr>
        <w:t xml:space="preserve"> </w:t>
      </w:r>
      <w:r>
        <w:t>(grave)</w:t>
      </w:r>
    </w:p>
    <w:p w14:paraId="6F803FBA" w14:textId="77777777" w:rsidR="00A92E6F" w:rsidRDefault="00B07FFE">
      <w:pPr>
        <w:pStyle w:val="Prrafodelista"/>
        <w:numPr>
          <w:ilvl w:val="2"/>
          <w:numId w:val="5"/>
        </w:numPr>
        <w:tabs>
          <w:tab w:val="left" w:pos="784"/>
        </w:tabs>
        <w:spacing w:line="269" w:lineRule="exact"/>
        <w:ind w:left="783" w:hanging="206"/>
      </w:pPr>
      <w:r>
        <w:t>Lupus eritematoso sistémico</w:t>
      </w:r>
      <w:r>
        <w:rPr>
          <w:spacing w:val="-3"/>
        </w:rPr>
        <w:t xml:space="preserve"> </w:t>
      </w:r>
      <w:r>
        <w:t>(LES)</w:t>
      </w:r>
    </w:p>
    <w:p w14:paraId="6F803FBB" w14:textId="77777777" w:rsidR="00A92E6F" w:rsidRDefault="00B07FFE">
      <w:pPr>
        <w:pStyle w:val="Prrafodelista"/>
        <w:numPr>
          <w:ilvl w:val="2"/>
          <w:numId w:val="5"/>
        </w:numPr>
        <w:tabs>
          <w:tab w:val="left" w:pos="784"/>
        </w:tabs>
        <w:spacing w:line="269" w:lineRule="exact"/>
        <w:ind w:left="783" w:hanging="206"/>
      </w:pPr>
      <w:r>
        <w:t>Antecedentes de hiperplasia de endometrio (ver a</w:t>
      </w:r>
      <w:r>
        <w:rPr>
          <w:spacing w:val="-6"/>
        </w:rPr>
        <w:t xml:space="preserve"> </w:t>
      </w:r>
      <w:r>
        <w:t>continuación)</w:t>
      </w:r>
    </w:p>
    <w:p w14:paraId="6F803FBC" w14:textId="77777777" w:rsidR="00A92E6F" w:rsidRDefault="00B07FFE">
      <w:pPr>
        <w:pStyle w:val="Prrafodelista"/>
        <w:numPr>
          <w:ilvl w:val="2"/>
          <w:numId w:val="5"/>
        </w:numPr>
        <w:tabs>
          <w:tab w:val="left" w:pos="784"/>
        </w:tabs>
        <w:spacing w:line="269" w:lineRule="exact"/>
        <w:ind w:left="783" w:hanging="206"/>
      </w:pPr>
      <w:r>
        <w:t>Epilepsia</w:t>
      </w:r>
    </w:p>
    <w:p w14:paraId="6F803FBD" w14:textId="77777777" w:rsidR="00A92E6F" w:rsidRDefault="00B07FFE">
      <w:pPr>
        <w:pStyle w:val="Prrafodelista"/>
        <w:numPr>
          <w:ilvl w:val="2"/>
          <w:numId w:val="5"/>
        </w:numPr>
        <w:tabs>
          <w:tab w:val="left" w:pos="784"/>
        </w:tabs>
        <w:spacing w:line="269" w:lineRule="exact"/>
        <w:ind w:left="783" w:hanging="206"/>
      </w:pPr>
      <w:r>
        <w:t>Asma</w:t>
      </w:r>
    </w:p>
    <w:p w14:paraId="6F803FBE" w14:textId="77777777" w:rsidR="00A92E6F" w:rsidRDefault="00B07FFE">
      <w:pPr>
        <w:pStyle w:val="Prrafodelista"/>
        <w:numPr>
          <w:ilvl w:val="2"/>
          <w:numId w:val="5"/>
        </w:numPr>
        <w:tabs>
          <w:tab w:val="left" w:pos="784"/>
        </w:tabs>
        <w:spacing w:line="269" w:lineRule="exact"/>
        <w:ind w:left="783" w:hanging="206"/>
      </w:pPr>
      <w:r>
        <w:t>Otosclerosis</w:t>
      </w:r>
    </w:p>
    <w:p w14:paraId="6F803FBF" w14:textId="77777777" w:rsidR="00A92E6F" w:rsidRDefault="00B07FFE">
      <w:pPr>
        <w:pStyle w:val="Prrafodelista"/>
        <w:numPr>
          <w:ilvl w:val="2"/>
          <w:numId w:val="5"/>
        </w:numPr>
        <w:tabs>
          <w:tab w:val="left" w:pos="784"/>
        </w:tabs>
        <w:spacing w:line="269" w:lineRule="exact"/>
        <w:ind w:left="783" w:hanging="206"/>
      </w:pPr>
      <w:r>
        <w:t>Angioedema</w:t>
      </w:r>
      <w:r>
        <w:rPr>
          <w:spacing w:val="-1"/>
        </w:rPr>
        <w:t xml:space="preserve"> </w:t>
      </w:r>
      <w:r>
        <w:t>hereditario</w:t>
      </w:r>
    </w:p>
    <w:p w14:paraId="6F803FC0" w14:textId="77777777" w:rsidR="00A92E6F" w:rsidRDefault="00B07FFE">
      <w:pPr>
        <w:pStyle w:val="Prrafodelista"/>
        <w:numPr>
          <w:ilvl w:val="2"/>
          <w:numId w:val="5"/>
        </w:numPr>
        <w:tabs>
          <w:tab w:val="left" w:pos="784"/>
        </w:tabs>
        <w:spacing w:line="269" w:lineRule="exact"/>
        <w:ind w:left="783" w:hanging="206"/>
      </w:pPr>
      <w:r>
        <w:t>Prurito</w:t>
      </w:r>
    </w:p>
    <w:p w14:paraId="6F803FC1" w14:textId="77777777" w:rsidR="00A92E6F" w:rsidRDefault="00B07FFE">
      <w:pPr>
        <w:pStyle w:val="Prrafodelista"/>
        <w:numPr>
          <w:ilvl w:val="2"/>
          <w:numId w:val="5"/>
        </w:numPr>
        <w:tabs>
          <w:tab w:val="left" w:pos="784"/>
        </w:tabs>
        <w:spacing w:line="269" w:lineRule="exact"/>
        <w:ind w:left="783" w:hanging="206"/>
      </w:pPr>
      <w:r>
        <w:t>Mastopatía</w:t>
      </w:r>
    </w:p>
    <w:p w14:paraId="6F803FC2" w14:textId="77777777" w:rsidR="00A92E6F" w:rsidRDefault="00A92E6F">
      <w:pPr>
        <w:pStyle w:val="Textoindependiente"/>
        <w:spacing w:before="5"/>
        <w:rPr>
          <w:sz w:val="25"/>
        </w:rPr>
      </w:pPr>
    </w:p>
    <w:p w14:paraId="6F803FC3" w14:textId="77777777" w:rsidR="00A92E6F" w:rsidRDefault="00B07FFE">
      <w:pPr>
        <w:pStyle w:val="Textoindependiente"/>
        <w:spacing w:before="1" w:line="276" w:lineRule="auto"/>
        <w:ind w:left="217" w:right="607"/>
        <w:jc w:val="both"/>
      </w:pPr>
      <w:r>
        <w:t>Si se diagnostica un empeoramiento de cualquiera de las condiciones anteriores o se sospecha su aparición durante el tratamiento con THS, deberán reevaluarse los beneficios y riesgos de la THS y en base a ello la pertinencia de continuar el tratamiento.</w:t>
      </w:r>
    </w:p>
    <w:p w14:paraId="6F803FC4" w14:textId="77777777" w:rsidR="00A92E6F" w:rsidRDefault="00A92E6F">
      <w:pPr>
        <w:pStyle w:val="Textoindependiente"/>
        <w:spacing w:before="1"/>
        <w:rPr>
          <w:sz w:val="25"/>
        </w:rPr>
      </w:pPr>
    </w:p>
    <w:p w14:paraId="6F803FC5" w14:textId="77777777" w:rsidR="00A92E6F" w:rsidRDefault="00B07FFE">
      <w:pPr>
        <w:pStyle w:val="Textoindependiente"/>
        <w:ind w:left="217"/>
        <w:jc w:val="both"/>
      </w:pPr>
      <w:r>
        <w:rPr>
          <w:u w:val="single"/>
        </w:rPr>
        <w:t>Condiciones que requieren un seguimiento durante la terapia estrogénica:</w:t>
      </w:r>
    </w:p>
    <w:p w14:paraId="6F803FC6" w14:textId="77777777" w:rsidR="00A92E6F" w:rsidRDefault="00A92E6F">
      <w:pPr>
        <w:pStyle w:val="Textoindependiente"/>
        <w:spacing w:before="9"/>
        <w:rPr>
          <w:sz w:val="19"/>
        </w:rPr>
      </w:pPr>
    </w:p>
    <w:p w14:paraId="6F803FC7" w14:textId="77777777" w:rsidR="00A92E6F" w:rsidRDefault="00B07FFE">
      <w:pPr>
        <w:pStyle w:val="Prrafodelista"/>
        <w:numPr>
          <w:ilvl w:val="2"/>
          <w:numId w:val="5"/>
        </w:numPr>
        <w:tabs>
          <w:tab w:val="left" w:pos="784"/>
        </w:tabs>
        <w:spacing w:before="101"/>
        <w:ind w:left="783" w:right="616" w:hanging="206"/>
      </w:pPr>
      <w:r>
        <w:t>Los estrógenos pueden causar retención de líquidos. La disfunción cardíaca o renal se debe observar cuidadosamente.</w:t>
      </w:r>
    </w:p>
    <w:p w14:paraId="6F803FC8" w14:textId="77777777" w:rsidR="00A92E6F" w:rsidRDefault="00B07FFE">
      <w:pPr>
        <w:pStyle w:val="Prrafodelista"/>
        <w:numPr>
          <w:ilvl w:val="2"/>
          <w:numId w:val="5"/>
        </w:numPr>
        <w:tabs>
          <w:tab w:val="left" w:pos="784"/>
        </w:tabs>
        <w:spacing w:line="267" w:lineRule="exact"/>
        <w:ind w:left="783" w:hanging="206"/>
      </w:pPr>
      <w:r>
        <w:t>Alteraciones o insuficiencia leve de la función</w:t>
      </w:r>
      <w:r>
        <w:rPr>
          <w:spacing w:val="-6"/>
        </w:rPr>
        <w:t xml:space="preserve"> </w:t>
      </w:r>
      <w:r>
        <w:t>hepática</w:t>
      </w:r>
    </w:p>
    <w:p w14:paraId="6F803FC9" w14:textId="77777777" w:rsidR="00A92E6F" w:rsidRDefault="00B07FFE">
      <w:pPr>
        <w:pStyle w:val="Prrafodelista"/>
        <w:numPr>
          <w:ilvl w:val="2"/>
          <w:numId w:val="5"/>
        </w:numPr>
        <w:tabs>
          <w:tab w:val="left" w:pos="784"/>
        </w:tabs>
        <w:spacing w:line="269" w:lineRule="exact"/>
        <w:ind w:left="783" w:hanging="206"/>
      </w:pPr>
      <w:r>
        <w:t>Historial de ictericia colestática</w:t>
      </w:r>
    </w:p>
    <w:p w14:paraId="6F803FCA" w14:textId="77777777" w:rsidR="00A92E6F" w:rsidRDefault="00B07FFE">
      <w:pPr>
        <w:pStyle w:val="Prrafodelista"/>
        <w:numPr>
          <w:ilvl w:val="2"/>
          <w:numId w:val="5"/>
        </w:numPr>
        <w:tabs>
          <w:tab w:val="left" w:pos="784"/>
        </w:tabs>
        <w:ind w:left="783" w:right="612" w:hanging="206"/>
      </w:pPr>
      <w:r>
        <w:t>Hipertrigliceridemia pre-existente. Con la terapia estrogénica, se han notificado casos raros de aumentos importantes de los triglicéridos en plasma que provocaron</w:t>
      </w:r>
      <w:r>
        <w:rPr>
          <w:spacing w:val="-9"/>
        </w:rPr>
        <w:t xml:space="preserve"> </w:t>
      </w:r>
      <w:r>
        <w:t>pancreatitis.</w:t>
      </w:r>
    </w:p>
    <w:p w14:paraId="6F803FCB" w14:textId="77777777" w:rsidR="00A92E6F" w:rsidRDefault="00A92E6F">
      <w:pPr>
        <w:pStyle w:val="Textoindependiente"/>
        <w:spacing w:before="5"/>
        <w:rPr>
          <w:sz w:val="25"/>
        </w:rPr>
      </w:pPr>
    </w:p>
    <w:p w14:paraId="6F803FCC" w14:textId="77777777" w:rsidR="00A92E6F" w:rsidRDefault="00B07FFE">
      <w:pPr>
        <w:pStyle w:val="Textoindependiente"/>
        <w:ind w:left="217"/>
      </w:pPr>
      <w:r>
        <w:rPr>
          <w:u w:val="single"/>
        </w:rPr>
        <w:t>Razones para la retirada inmediata de la terapia:</w:t>
      </w:r>
    </w:p>
    <w:p w14:paraId="6F803FCD" w14:textId="77777777" w:rsidR="00A92E6F" w:rsidRDefault="00A92E6F">
      <w:pPr>
        <w:pStyle w:val="Textoindependiente"/>
        <w:spacing w:before="7"/>
        <w:rPr>
          <w:sz w:val="20"/>
        </w:rPr>
      </w:pPr>
    </w:p>
    <w:p w14:paraId="6F803FCE" w14:textId="77777777" w:rsidR="00A92E6F" w:rsidRDefault="00B07FFE">
      <w:pPr>
        <w:pStyle w:val="Textoindependiente"/>
        <w:spacing w:before="91"/>
        <w:ind w:left="217"/>
      </w:pPr>
      <w:r>
        <w:t>Se debe discontinuar la terapia en caso de identificar una contraindicación y en las siguientes situaciones:</w:t>
      </w:r>
    </w:p>
    <w:p w14:paraId="6F803FCF" w14:textId="77777777" w:rsidR="00A92E6F" w:rsidRDefault="00A92E6F">
      <w:pPr>
        <w:pStyle w:val="Textoindependiente"/>
        <w:spacing w:before="7"/>
        <w:rPr>
          <w:sz w:val="28"/>
        </w:rPr>
      </w:pPr>
    </w:p>
    <w:p w14:paraId="6F803FD0" w14:textId="77777777" w:rsidR="00A92E6F" w:rsidRDefault="00B07FFE">
      <w:pPr>
        <w:pStyle w:val="Prrafodelista"/>
        <w:numPr>
          <w:ilvl w:val="2"/>
          <w:numId w:val="5"/>
        </w:numPr>
        <w:tabs>
          <w:tab w:val="left" w:pos="784"/>
        </w:tabs>
        <w:spacing w:line="269" w:lineRule="exact"/>
        <w:ind w:left="783" w:hanging="206"/>
      </w:pPr>
      <w:r>
        <w:t>Ictericia o deterioro de la función</w:t>
      </w:r>
      <w:r>
        <w:rPr>
          <w:spacing w:val="-4"/>
        </w:rPr>
        <w:t xml:space="preserve"> </w:t>
      </w:r>
      <w:r>
        <w:t>hepática</w:t>
      </w:r>
    </w:p>
    <w:p w14:paraId="6F803FD1" w14:textId="77777777" w:rsidR="00A92E6F" w:rsidRDefault="00B07FFE">
      <w:pPr>
        <w:pStyle w:val="Prrafodelista"/>
        <w:numPr>
          <w:ilvl w:val="2"/>
          <w:numId w:val="5"/>
        </w:numPr>
        <w:tabs>
          <w:tab w:val="left" w:pos="784"/>
        </w:tabs>
        <w:spacing w:line="269" w:lineRule="exact"/>
        <w:ind w:left="783" w:hanging="206"/>
      </w:pPr>
      <w:r>
        <w:t>Aumento significativo en la presión</w:t>
      </w:r>
      <w:r>
        <w:rPr>
          <w:spacing w:val="-8"/>
        </w:rPr>
        <w:t xml:space="preserve"> </w:t>
      </w:r>
      <w:r>
        <w:t>sanguínea</w:t>
      </w:r>
    </w:p>
    <w:p w14:paraId="6F803FD2" w14:textId="27E1ABF5" w:rsidR="00A92E6F" w:rsidRDefault="00B07FFE">
      <w:pPr>
        <w:pStyle w:val="Prrafodelista"/>
        <w:numPr>
          <w:ilvl w:val="2"/>
          <w:numId w:val="5"/>
        </w:numPr>
        <w:tabs>
          <w:tab w:val="left" w:pos="784"/>
        </w:tabs>
        <w:spacing w:line="269" w:lineRule="exact"/>
        <w:ind w:left="783" w:hanging="206"/>
      </w:pPr>
      <w:r>
        <w:t>Nuevo episodio de cefalea tipo</w:t>
      </w:r>
      <w:r>
        <w:rPr>
          <w:spacing w:val="-5"/>
        </w:rPr>
        <w:t xml:space="preserve"> </w:t>
      </w:r>
      <w:r>
        <w:t>migraña</w:t>
      </w:r>
    </w:p>
    <w:p w14:paraId="6F803FD3" w14:textId="77777777" w:rsidR="00A92E6F" w:rsidRDefault="00B07FFE">
      <w:pPr>
        <w:pStyle w:val="Prrafodelista"/>
        <w:numPr>
          <w:ilvl w:val="2"/>
          <w:numId w:val="5"/>
        </w:numPr>
        <w:tabs>
          <w:tab w:val="left" w:pos="784"/>
        </w:tabs>
        <w:spacing w:line="269" w:lineRule="exact"/>
        <w:ind w:left="783" w:hanging="206"/>
      </w:pPr>
      <w:r>
        <w:t>Embarazo</w:t>
      </w:r>
    </w:p>
    <w:p w14:paraId="6F803FD4" w14:textId="77777777" w:rsidR="00A92E6F" w:rsidRDefault="00A92E6F">
      <w:pPr>
        <w:spacing w:line="269" w:lineRule="exact"/>
        <w:sectPr w:rsidR="00A92E6F">
          <w:pgSz w:w="11910" w:h="16840"/>
          <w:pgMar w:top="60" w:right="520" w:bottom="980" w:left="1060" w:header="0" w:footer="714" w:gutter="0"/>
          <w:cols w:space="720"/>
        </w:sectPr>
      </w:pPr>
    </w:p>
    <w:p w14:paraId="6F803FD5" w14:textId="75A9EF9F" w:rsidR="00A92E6F" w:rsidRDefault="00A92E6F">
      <w:pPr>
        <w:pStyle w:val="Textoindependiente"/>
        <w:rPr>
          <w:sz w:val="20"/>
        </w:rPr>
      </w:pPr>
    </w:p>
    <w:p w14:paraId="6F803FD6" w14:textId="77777777" w:rsidR="00A92E6F" w:rsidRDefault="00A92E6F">
      <w:pPr>
        <w:pStyle w:val="Textoindependiente"/>
        <w:rPr>
          <w:sz w:val="20"/>
        </w:rPr>
      </w:pPr>
    </w:p>
    <w:p w14:paraId="6F803FD7" w14:textId="77777777" w:rsidR="00A92E6F" w:rsidRDefault="00A92E6F">
      <w:pPr>
        <w:pStyle w:val="Textoindependiente"/>
        <w:rPr>
          <w:sz w:val="20"/>
        </w:rPr>
      </w:pPr>
    </w:p>
    <w:p w14:paraId="6F803FD8" w14:textId="77777777" w:rsidR="00A92E6F" w:rsidRDefault="00A92E6F">
      <w:pPr>
        <w:pStyle w:val="Textoindependiente"/>
        <w:rPr>
          <w:sz w:val="20"/>
        </w:rPr>
      </w:pPr>
    </w:p>
    <w:p w14:paraId="6F803FD9" w14:textId="77777777" w:rsidR="00A92E6F" w:rsidRDefault="00A92E6F">
      <w:pPr>
        <w:pStyle w:val="Textoindependiente"/>
        <w:rPr>
          <w:sz w:val="20"/>
        </w:rPr>
      </w:pPr>
    </w:p>
    <w:p w14:paraId="6F803FDA" w14:textId="77777777" w:rsidR="00A92E6F" w:rsidRDefault="00A92E6F">
      <w:pPr>
        <w:pStyle w:val="Textoindependiente"/>
        <w:spacing w:before="4"/>
        <w:rPr>
          <w:sz w:val="21"/>
        </w:rPr>
      </w:pPr>
    </w:p>
    <w:p w14:paraId="6F803FDB" w14:textId="77777777" w:rsidR="00A92E6F" w:rsidRDefault="00B07FFE">
      <w:pPr>
        <w:pStyle w:val="Ttulo1"/>
        <w:spacing w:before="92"/>
      </w:pPr>
      <w:r>
        <w:rPr>
          <w:u w:val="thick"/>
        </w:rPr>
        <w:t>Hiperplasia y cáncer de endometrio</w:t>
      </w:r>
    </w:p>
    <w:p w14:paraId="6F803FDC" w14:textId="77777777" w:rsidR="00A92E6F" w:rsidRDefault="00A92E6F">
      <w:pPr>
        <w:pStyle w:val="Textoindependiente"/>
        <w:spacing w:before="2"/>
        <w:rPr>
          <w:b/>
          <w:sz w:val="20"/>
        </w:rPr>
      </w:pPr>
    </w:p>
    <w:p w14:paraId="6F803FDD" w14:textId="77777777" w:rsidR="00A92E6F" w:rsidRDefault="00B07FFE">
      <w:pPr>
        <w:pStyle w:val="Textoindependiente"/>
        <w:spacing w:before="91" w:line="276" w:lineRule="auto"/>
        <w:ind w:left="217" w:right="606"/>
        <w:jc w:val="both"/>
      </w:pPr>
      <w:r>
        <w:t>El riesgo de hiperplasia y de cáncer de endometrio se incrementa en mujeres con útero intacto que reciben estrógenos solos durante periodos prolongados (ver sección 4.8). El aumento del riesgo de cáncer de endometrio en las mujeres que reciben únicamente estrógenos varía de entre 2 a 12 veces con respecto a mujeres que no son usuarias del TSH, siendo este riesgo dependiente de la duración del tratamiento y de la dosis de estrógeno utilizada (ver sección 4.8). Después de interrumpir el tratamiento, el riesgo puede mantenerse aumentado durante al menos 10 años. Se ha estimado, en mujeres con útero tras una terapia de 1 a 5 años de duración basada sólo en estrógeno un incremento del riesgo de cáncer de endometrio de 3 veces con respecto al riesgo inicial, (aproximadamente éste es de un 3 % en el caso de mujeres de 50 años de edad) con efectos que persisten durante varios años después de interrumpir el tratamiento con</w:t>
      </w:r>
      <w:r>
        <w:rPr>
          <w:spacing w:val="-25"/>
        </w:rPr>
        <w:t xml:space="preserve"> </w:t>
      </w:r>
      <w:r>
        <w:t>estrógeno.</w:t>
      </w:r>
    </w:p>
    <w:p w14:paraId="6F803FDE" w14:textId="77777777" w:rsidR="00A92E6F" w:rsidRDefault="00A92E6F">
      <w:pPr>
        <w:pStyle w:val="Textoindependiente"/>
        <w:spacing w:before="5"/>
        <w:rPr>
          <w:sz w:val="25"/>
        </w:rPr>
      </w:pPr>
    </w:p>
    <w:p w14:paraId="6F803FDF" w14:textId="638C0974" w:rsidR="00A92E6F" w:rsidRDefault="00B07FFE">
      <w:pPr>
        <w:pStyle w:val="Textoindependiente"/>
        <w:spacing w:before="1" w:line="276" w:lineRule="auto"/>
        <w:ind w:left="217" w:right="608"/>
        <w:jc w:val="both"/>
      </w:pPr>
      <w:r>
        <w:t>La adición de un progestágeno de manera cíclica durante al menos 12 días al mes en ciclos de 28 días</w:t>
      </w:r>
      <w:r w:rsidR="006C3648">
        <w:t xml:space="preserve"> </w:t>
      </w:r>
      <w:r>
        <w:t>o bien de manera continua con una terapia combinada de estrógeno-progestágeno en mujeres no histerectomizadas, previene del exceso de riesgo asociado al tratamiento TSH basado sólo en</w:t>
      </w:r>
      <w:r>
        <w:rPr>
          <w:spacing w:val="-20"/>
        </w:rPr>
        <w:t xml:space="preserve"> </w:t>
      </w:r>
      <w:r>
        <w:t>estrógenos.</w:t>
      </w:r>
    </w:p>
    <w:p w14:paraId="6F803FE0" w14:textId="77777777" w:rsidR="00A92E6F" w:rsidRDefault="00A92E6F">
      <w:pPr>
        <w:pStyle w:val="Textoindependiente"/>
        <w:spacing w:before="1"/>
        <w:rPr>
          <w:sz w:val="25"/>
        </w:rPr>
      </w:pPr>
    </w:p>
    <w:p w14:paraId="6F803FE1" w14:textId="77777777" w:rsidR="00A92E6F" w:rsidRDefault="00B07FFE">
      <w:pPr>
        <w:pStyle w:val="Textoindependiente"/>
        <w:spacing w:before="1" w:line="276" w:lineRule="auto"/>
        <w:ind w:left="217" w:right="609"/>
        <w:jc w:val="both"/>
      </w:pPr>
      <w:r>
        <w:t>Aunque el tratamiento con progestágeno durante al menos 10 días del ciclo reduce el riesgo de hiperplasia de endometrio, la cual puede ser precursora de cáncer endometrial, se recomienda, para maximizar la protección del endometrio, seguir un tratamiento con progestágeno de 12-14 días por ciclo. Cada ciclo secuencial estrógeno/estrógeno-progestágeno resulta en un sangrado cíclico en la mayoría de las</w:t>
      </w:r>
      <w:r>
        <w:rPr>
          <w:spacing w:val="-22"/>
        </w:rPr>
        <w:t xml:space="preserve"> </w:t>
      </w:r>
      <w:r>
        <w:t>mujeres.</w:t>
      </w:r>
    </w:p>
    <w:p w14:paraId="6F803FE2" w14:textId="77777777" w:rsidR="00A92E6F" w:rsidRDefault="00A92E6F">
      <w:pPr>
        <w:pStyle w:val="Textoindependiente"/>
        <w:spacing w:before="5"/>
        <w:rPr>
          <w:sz w:val="25"/>
        </w:rPr>
      </w:pPr>
    </w:p>
    <w:p w14:paraId="6F803FE3" w14:textId="77777777" w:rsidR="00A92E6F" w:rsidRDefault="00B07FFE">
      <w:pPr>
        <w:pStyle w:val="Textoindependiente"/>
        <w:spacing w:line="276" w:lineRule="auto"/>
        <w:ind w:left="217" w:right="612"/>
        <w:jc w:val="both"/>
      </w:pPr>
      <w:r>
        <w:t>En mujeres con útero que no pueden tolerar o usar un progestágeno, se puede valorar el uso de terapia estrogénica no opuesta con un seguimiento a largo plazo, con vigilancia endometrial que puede incluir biopsias a realizar anualmente o tan pronto como se produzcan hemorragias o sangrados.</w:t>
      </w:r>
    </w:p>
    <w:p w14:paraId="6F803FE4" w14:textId="77777777" w:rsidR="00A92E6F" w:rsidRDefault="00A92E6F">
      <w:pPr>
        <w:pStyle w:val="Textoindependiente"/>
        <w:spacing w:before="1"/>
        <w:rPr>
          <w:sz w:val="25"/>
        </w:rPr>
      </w:pPr>
    </w:p>
    <w:p w14:paraId="6F803FE5" w14:textId="77777777" w:rsidR="00A92E6F" w:rsidRDefault="00B07FFE">
      <w:pPr>
        <w:pStyle w:val="Textoindependiente"/>
        <w:spacing w:line="278" w:lineRule="auto"/>
        <w:ind w:left="217" w:right="614"/>
        <w:jc w:val="both"/>
      </w:pPr>
      <w:r>
        <w:t xml:space="preserve">En mujeres con útero intacto, no se ha estudiado aún la seguridad endometrial del uso conjunto del progestágeno con los parches de EVOPAD 100 (100 </w:t>
      </w:r>
      <w:r>
        <w:rPr>
          <w:rFonts w:ascii="Symbol" w:hAnsi="Symbol"/>
        </w:rPr>
        <w:t></w:t>
      </w:r>
      <w:r>
        <w:t>g/día).</w:t>
      </w:r>
    </w:p>
    <w:p w14:paraId="6F803FE6" w14:textId="77777777" w:rsidR="00A92E6F" w:rsidRDefault="00B07FFE">
      <w:pPr>
        <w:pStyle w:val="Textoindependiente"/>
        <w:spacing w:line="276" w:lineRule="auto"/>
        <w:ind w:left="217" w:right="614"/>
        <w:jc w:val="both"/>
      </w:pPr>
      <w:r>
        <w:t>Durante los primeros meses de tratamiento suelen producirse hemorragias y sangrados irregulares. Si estas hemorragias o sangrados aparecen después de algún tiempo de haber iniciado el tratamiento o persisten una vez que el tratamiento se ha interrumpido, deberá investigarse la etiología de la hemorragia o el sangrado, realizando incluso una biopsia endometrial para excluir malignidad endometrial.</w:t>
      </w:r>
    </w:p>
    <w:p w14:paraId="6F803FE7" w14:textId="77777777" w:rsidR="00A92E6F" w:rsidRDefault="00A92E6F">
      <w:pPr>
        <w:pStyle w:val="Textoindependiente"/>
        <w:rPr>
          <w:sz w:val="25"/>
        </w:rPr>
      </w:pPr>
    </w:p>
    <w:p w14:paraId="6F803FE8" w14:textId="77777777" w:rsidR="00A92E6F" w:rsidRDefault="00B07FFE">
      <w:pPr>
        <w:pStyle w:val="Textoindependiente"/>
        <w:spacing w:line="276" w:lineRule="auto"/>
        <w:ind w:left="217" w:right="614"/>
        <w:jc w:val="both"/>
      </w:pPr>
      <w:r>
        <w:t>La estimulación estrogénica no opuesta puede dar lugar a una transformación premaligna o maligna de un foco residual de endometriosis. Por ello, en mujeres histerectomizadas debido a una endometriosis, debe de considerarse la adición de un progestágeno, especialmente si se conoce que existe una endometriosis residual.</w:t>
      </w:r>
    </w:p>
    <w:p w14:paraId="6F803FE9" w14:textId="77777777" w:rsidR="00A92E6F" w:rsidRDefault="00A92E6F">
      <w:pPr>
        <w:pStyle w:val="Textoindependiente"/>
        <w:rPr>
          <w:sz w:val="24"/>
        </w:rPr>
      </w:pPr>
    </w:p>
    <w:p w14:paraId="6F803FEB" w14:textId="77777777" w:rsidR="00A92E6F" w:rsidRDefault="00B07FFE">
      <w:pPr>
        <w:pStyle w:val="Ttulo1"/>
        <w:jc w:val="both"/>
      </w:pPr>
      <w:r>
        <w:rPr>
          <w:u w:val="thick"/>
        </w:rPr>
        <w:t>Cáncer de mama</w:t>
      </w:r>
    </w:p>
    <w:p w14:paraId="6F803FEC" w14:textId="77777777" w:rsidR="00A92E6F" w:rsidRDefault="00A92E6F">
      <w:pPr>
        <w:pStyle w:val="Textoindependiente"/>
        <w:spacing w:before="4"/>
        <w:rPr>
          <w:b/>
          <w:sz w:val="20"/>
        </w:rPr>
      </w:pPr>
    </w:p>
    <w:p w14:paraId="6F803FED" w14:textId="194BE773" w:rsidR="00A92E6F" w:rsidRDefault="00FE351F">
      <w:pPr>
        <w:pStyle w:val="Textoindependiente"/>
        <w:spacing w:before="92" w:line="276" w:lineRule="auto"/>
        <w:ind w:left="217" w:right="611"/>
        <w:jc w:val="both"/>
      </w:pPr>
      <w:r>
        <w:t>En conjunto los datos muestran un mayor riesgo de cáncer de mama en mujeres que reciben THS</w:t>
      </w:r>
      <w:r w:rsidR="001E0B31">
        <w:t xml:space="preserve"> con estrógenos-progestágenos combinados o THS con estrógenos solo, que depende de la duración del uso de THS.</w:t>
      </w:r>
    </w:p>
    <w:p w14:paraId="6F803FEE" w14:textId="77777777" w:rsidR="00A92E6F" w:rsidRDefault="00A92E6F">
      <w:pPr>
        <w:pStyle w:val="Textoindependiente"/>
        <w:spacing w:before="1"/>
        <w:rPr>
          <w:sz w:val="25"/>
        </w:rPr>
      </w:pPr>
    </w:p>
    <w:p w14:paraId="6F803FEF" w14:textId="0FFAED70" w:rsidR="00A92E6F" w:rsidRDefault="00B07FFE">
      <w:pPr>
        <w:ind w:left="217"/>
        <w:rPr>
          <w:i/>
        </w:rPr>
      </w:pPr>
      <w:r>
        <w:rPr>
          <w:i/>
        </w:rPr>
        <w:t xml:space="preserve">Terapia </w:t>
      </w:r>
      <w:r w:rsidR="00DE5F2C">
        <w:rPr>
          <w:i/>
        </w:rPr>
        <w:t>de</w:t>
      </w:r>
      <w:r>
        <w:rPr>
          <w:i/>
        </w:rPr>
        <w:t xml:space="preserve"> estrógeno</w:t>
      </w:r>
      <w:r w:rsidR="00DE5F2C">
        <w:rPr>
          <w:i/>
        </w:rPr>
        <w:t>s</w:t>
      </w:r>
      <w:r>
        <w:rPr>
          <w:i/>
        </w:rPr>
        <w:t>-progestágeno</w:t>
      </w:r>
      <w:r w:rsidR="007E4859">
        <w:rPr>
          <w:i/>
        </w:rPr>
        <w:t>s combinados</w:t>
      </w:r>
    </w:p>
    <w:p w14:paraId="6F674090" w14:textId="77777777" w:rsidR="003C312D" w:rsidRPr="003C312D" w:rsidRDefault="00B07FFE" w:rsidP="003C312D">
      <w:pPr>
        <w:pStyle w:val="Prrafodelista"/>
        <w:numPr>
          <w:ilvl w:val="0"/>
          <w:numId w:val="3"/>
        </w:numPr>
        <w:tabs>
          <w:tab w:val="left" w:pos="938"/>
        </w:tabs>
        <w:spacing w:before="40" w:line="266" w:lineRule="auto"/>
        <w:ind w:right="613"/>
        <w:jc w:val="both"/>
        <w:rPr>
          <w:sz w:val="20"/>
        </w:rPr>
      </w:pPr>
      <w:r>
        <w:t xml:space="preserve">El ensayo clínico </w:t>
      </w:r>
      <w:r w:rsidR="007E4859">
        <w:t xml:space="preserve">aleatorizado y </w:t>
      </w:r>
      <w:r>
        <w:t>controlado con placebo</w:t>
      </w:r>
      <w:r w:rsidR="00D01086">
        <w:t xml:space="preserve"> el estudio de iniciativa de salud de la mujer</w:t>
      </w:r>
      <w:r>
        <w:t xml:space="preserve"> (WHI</w:t>
      </w:r>
      <w:r w:rsidR="00283B28">
        <w:t>, por sus siglas en inglés</w:t>
      </w:r>
      <w:r>
        <w:t xml:space="preserve">), </w:t>
      </w:r>
      <w:r w:rsidR="00283B28">
        <w:t>y un metaanálisis</w:t>
      </w:r>
      <w:r w:rsidR="008D5A09">
        <w:t xml:space="preserve"> de estudios epidemiológicos prospectivos coinciden en observar un aumento del riesgo de cáncer de mama en las mujeres que tomaban estrógenos</w:t>
      </w:r>
      <w:r w:rsidR="00606AA8">
        <w:t>-progestágenos combinados como THS, que se manifiesta alrededor de 3 (1-4</w:t>
      </w:r>
      <w:r w:rsidR="006C30DB">
        <w:t xml:space="preserve">) años </w:t>
      </w:r>
    </w:p>
    <w:p w14:paraId="09B7AC30" w14:textId="77777777" w:rsidR="003C312D" w:rsidRPr="003C312D" w:rsidRDefault="003C312D" w:rsidP="008D586B">
      <w:pPr>
        <w:pStyle w:val="Prrafodelista"/>
        <w:tabs>
          <w:tab w:val="left" w:pos="938"/>
        </w:tabs>
        <w:spacing w:before="40" w:line="266" w:lineRule="auto"/>
        <w:ind w:left="937" w:right="613" w:firstLine="0"/>
        <w:jc w:val="both"/>
        <w:rPr>
          <w:sz w:val="20"/>
        </w:rPr>
      </w:pPr>
    </w:p>
    <w:p w14:paraId="759BD55B" w14:textId="77777777" w:rsidR="003C312D" w:rsidRPr="003C312D" w:rsidRDefault="003C312D" w:rsidP="008D586B">
      <w:pPr>
        <w:pStyle w:val="Prrafodelista"/>
        <w:tabs>
          <w:tab w:val="left" w:pos="938"/>
        </w:tabs>
        <w:spacing w:before="40" w:line="266" w:lineRule="auto"/>
        <w:ind w:left="937" w:right="613" w:firstLine="0"/>
        <w:jc w:val="both"/>
        <w:rPr>
          <w:sz w:val="20"/>
        </w:rPr>
      </w:pPr>
    </w:p>
    <w:p w14:paraId="3621350E" w14:textId="77777777" w:rsidR="003C312D" w:rsidRPr="003C312D" w:rsidRDefault="003C312D" w:rsidP="008D586B">
      <w:pPr>
        <w:pStyle w:val="Prrafodelista"/>
        <w:tabs>
          <w:tab w:val="left" w:pos="938"/>
        </w:tabs>
        <w:spacing w:before="40" w:line="266" w:lineRule="auto"/>
        <w:ind w:left="937" w:right="613" w:firstLine="0"/>
        <w:jc w:val="both"/>
        <w:rPr>
          <w:sz w:val="20"/>
        </w:rPr>
      </w:pPr>
    </w:p>
    <w:p w14:paraId="37C650DF" w14:textId="77777777" w:rsidR="003C312D" w:rsidRPr="003C312D" w:rsidRDefault="003C312D" w:rsidP="008D586B">
      <w:pPr>
        <w:pStyle w:val="Prrafodelista"/>
        <w:tabs>
          <w:tab w:val="left" w:pos="938"/>
        </w:tabs>
        <w:spacing w:before="40" w:line="266" w:lineRule="auto"/>
        <w:ind w:left="937" w:right="613" w:firstLine="0"/>
        <w:jc w:val="both"/>
        <w:rPr>
          <w:sz w:val="20"/>
        </w:rPr>
      </w:pPr>
    </w:p>
    <w:p w14:paraId="6F803FF4" w14:textId="3CDAF0B9" w:rsidR="00A92E6F" w:rsidRPr="008D586B" w:rsidRDefault="008D586B" w:rsidP="008D586B">
      <w:pPr>
        <w:tabs>
          <w:tab w:val="left" w:pos="938"/>
        </w:tabs>
        <w:spacing w:before="40" w:line="266" w:lineRule="auto"/>
        <w:ind w:left="217" w:right="613"/>
        <w:jc w:val="both"/>
        <w:rPr>
          <w:sz w:val="20"/>
        </w:rPr>
      </w:pPr>
      <w:r>
        <w:tab/>
      </w:r>
      <w:r w:rsidR="006C30DB">
        <w:t xml:space="preserve">después </w:t>
      </w:r>
      <w:r w:rsidR="00D34EC4">
        <w:t>(ver sección 4.8).</w:t>
      </w:r>
    </w:p>
    <w:p w14:paraId="6F803FF5" w14:textId="77777777" w:rsidR="00A92E6F" w:rsidRDefault="00A92E6F">
      <w:pPr>
        <w:pStyle w:val="Textoindependiente"/>
        <w:rPr>
          <w:sz w:val="20"/>
        </w:rPr>
      </w:pPr>
    </w:p>
    <w:p w14:paraId="6F803FF6" w14:textId="77777777" w:rsidR="00A92E6F" w:rsidRDefault="00A92E6F">
      <w:pPr>
        <w:pStyle w:val="Textoindependiente"/>
        <w:spacing w:before="8"/>
        <w:rPr>
          <w:sz w:val="15"/>
        </w:rPr>
      </w:pPr>
    </w:p>
    <w:p w14:paraId="6F803FF9" w14:textId="77777777" w:rsidR="00A92E6F" w:rsidRDefault="00B07FFE">
      <w:pPr>
        <w:ind w:left="217"/>
        <w:rPr>
          <w:i/>
        </w:rPr>
      </w:pPr>
      <w:r>
        <w:rPr>
          <w:i/>
        </w:rPr>
        <w:t>Terapia basada sólo en estrógeno</w:t>
      </w:r>
    </w:p>
    <w:p w14:paraId="6F803FFA" w14:textId="77777777" w:rsidR="00A92E6F" w:rsidRDefault="00B07FFE">
      <w:pPr>
        <w:pStyle w:val="Prrafodelista"/>
        <w:numPr>
          <w:ilvl w:val="0"/>
          <w:numId w:val="3"/>
        </w:numPr>
        <w:tabs>
          <w:tab w:val="left" w:pos="938"/>
        </w:tabs>
        <w:spacing w:before="40" w:line="271" w:lineRule="auto"/>
        <w:ind w:right="607"/>
        <w:jc w:val="both"/>
      </w:pPr>
      <w:r>
        <w:t>El ensayo clínico WHI identificó que no hay aumentos en el riesgo de cáncer de mama en mujeres histerectomizadas que utilizan terapia hormonal sustitutiva basada sólo en estrógenos. Los estudios observacionales han identificado un pequeño aumento del riesgo de cáncer de mama menor que el encontrado en las pacientes tratadas con combinaciones de estrógeno y progestágeno (ver sección 4.8).</w:t>
      </w:r>
    </w:p>
    <w:p w14:paraId="6F803FFB" w14:textId="77777777" w:rsidR="00A92E6F" w:rsidRDefault="00A92E6F">
      <w:pPr>
        <w:pStyle w:val="Textoindependiente"/>
        <w:spacing w:before="9"/>
        <w:rPr>
          <w:sz w:val="25"/>
        </w:rPr>
      </w:pPr>
    </w:p>
    <w:p w14:paraId="6F803FFC" w14:textId="0F07A67B" w:rsidR="00A92E6F" w:rsidRDefault="00F45FF3">
      <w:pPr>
        <w:pStyle w:val="Textoindependiente"/>
        <w:spacing w:line="276" w:lineRule="auto"/>
        <w:ind w:left="217" w:right="611"/>
        <w:jc w:val="both"/>
      </w:pPr>
      <w:r>
        <w:t>Los resultados de un metaanálisis a gran escala mostraron que despu</w:t>
      </w:r>
      <w:r w:rsidR="00933F76">
        <w:t>és de suspender el tratamiento, el aumento del riesgo disminuirá con el tiempo</w:t>
      </w:r>
      <w:r w:rsidR="009B743E">
        <w:t xml:space="preserve"> y el tiempo necesario para volver a los valores iniciales depende de la duración del uso previo de la THS. Cuando se haya </w:t>
      </w:r>
      <w:r w:rsidR="00272D70">
        <w:t>usado THS durante más de cinco años, el riesgo puede persistir más de 10 años.</w:t>
      </w:r>
    </w:p>
    <w:p w14:paraId="6F803FFD" w14:textId="77777777" w:rsidR="00A92E6F" w:rsidRDefault="00A92E6F">
      <w:pPr>
        <w:pStyle w:val="Textoindependiente"/>
        <w:spacing w:before="4"/>
        <w:rPr>
          <w:sz w:val="25"/>
        </w:rPr>
      </w:pPr>
    </w:p>
    <w:p w14:paraId="6F803FFE" w14:textId="77777777" w:rsidR="00A92E6F" w:rsidRDefault="00B07FFE">
      <w:pPr>
        <w:pStyle w:val="Textoindependiente"/>
        <w:spacing w:line="276" w:lineRule="auto"/>
        <w:ind w:left="217" w:right="606"/>
        <w:jc w:val="both"/>
      </w:pPr>
      <w:r>
        <w:t>En el MWS el riesgo de cáncer de mama con estrógenos equinos conjugados (ECE) o estradiol (E2) resultó mayor cuando se combinaron con un progestágeno, ya sea de forma continua o secuencial, siendo esto independiente del tipo de progestágeno. Los datos no indicaron un riesgo diferente entre distintas vías de administración.</w:t>
      </w:r>
    </w:p>
    <w:p w14:paraId="6F803FFF" w14:textId="77777777" w:rsidR="00A92E6F" w:rsidRDefault="00A92E6F">
      <w:pPr>
        <w:pStyle w:val="Textoindependiente"/>
        <w:spacing w:before="3"/>
        <w:rPr>
          <w:sz w:val="25"/>
        </w:rPr>
      </w:pPr>
    </w:p>
    <w:p w14:paraId="6F804000" w14:textId="77777777" w:rsidR="00A92E6F" w:rsidRDefault="00B07FFE">
      <w:pPr>
        <w:pStyle w:val="Textoindependiente"/>
        <w:spacing w:before="1" w:line="276" w:lineRule="auto"/>
        <w:ind w:left="217" w:right="614"/>
        <w:jc w:val="both"/>
      </w:pPr>
      <w:r>
        <w:t>En el estudio WHI, la administración en forma continua de estrógenos equinos conjugados y acetato de medroxiprogesterona se asoció con tumores de mama de tamaño ligeramente mayor y también con una mayor frecuencia de metástasis en nódulos linfáticos comparado con el placebo.</w:t>
      </w:r>
    </w:p>
    <w:p w14:paraId="6F804001" w14:textId="77777777" w:rsidR="00A92E6F" w:rsidRDefault="00A92E6F">
      <w:pPr>
        <w:pStyle w:val="Textoindependiente"/>
        <w:spacing w:before="3"/>
        <w:rPr>
          <w:sz w:val="25"/>
        </w:rPr>
      </w:pPr>
    </w:p>
    <w:p w14:paraId="6F804002" w14:textId="77777777" w:rsidR="00A92E6F" w:rsidRDefault="00B07FFE">
      <w:pPr>
        <w:pStyle w:val="Textoindependiente"/>
        <w:spacing w:line="276" w:lineRule="auto"/>
        <w:ind w:left="217" w:right="612"/>
        <w:jc w:val="both"/>
      </w:pPr>
      <w:r>
        <w:t>La THS, especialmente la combinación estrógeno-progestágeno, incrementa la densidad de las imágenes de las mamografías, lo que puede dificultar la detección de cáncer de mama.</w:t>
      </w:r>
    </w:p>
    <w:p w14:paraId="6F804003" w14:textId="77777777" w:rsidR="00A92E6F" w:rsidRDefault="00A92E6F">
      <w:pPr>
        <w:pStyle w:val="Textoindependiente"/>
        <w:spacing w:before="7"/>
        <w:rPr>
          <w:sz w:val="25"/>
        </w:rPr>
      </w:pPr>
    </w:p>
    <w:p w14:paraId="6F804004" w14:textId="77777777" w:rsidR="00A92E6F" w:rsidRDefault="00B07FFE">
      <w:pPr>
        <w:pStyle w:val="Ttulo1"/>
        <w:jc w:val="both"/>
      </w:pPr>
      <w:r>
        <w:rPr>
          <w:u w:val="thick"/>
        </w:rPr>
        <w:t>Cáncer de ovario</w:t>
      </w:r>
    </w:p>
    <w:p w14:paraId="6F804005" w14:textId="77777777" w:rsidR="00A92E6F" w:rsidRDefault="00A92E6F">
      <w:pPr>
        <w:pStyle w:val="Textoindependiente"/>
        <w:spacing w:before="4"/>
        <w:rPr>
          <w:b/>
          <w:sz w:val="20"/>
        </w:rPr>
      </w:pPr>
    </w:p>
    <w:p w14:paraId="6F804006" w14:textId="77777777" w:rsidR="00A92E6F" w:rsidRDefault="00B07FFE">
      <w:pPr>
        <w:pStyle w:val="Textoindependiente"/>
        <w:spacing w:before="92"/>
        <w:ind w:left="217"/>
      </w:pPr>
      <w:r>
        <w:t>El cáncer de ovario se produce con menos frecuencia que el cáncer de mama.</w:t>
      </w:r>
    </w:p>
    <w:p w14:paraId="6F804007" w14:textId="77777777" w:rsidR="00A92E6F" w:rsidRDefault="00B07FFE">
      <w:pPr>
        <w:pStyle w:val="Textoindependiente"/>
        <w:spacing w:before="37" w:line="276" w:lineRule="auto"/>
        <w:ind w:left="217" w:right="607"/>
        <w:jc w:val="both"/>
      </w:pPr>
      <w:r>
        <w:t>Las evidencias epidemiológicas de un gran meta-análisis sugieren un riesgo ligeramente mayor en mujeres en tratamiento con THS con estrógenos solos o con combinación de estrógenos – progestágenos, que se hace evidente a los 5 años de administración y disminuye con el tiempo después de interrumpir el tratamiento.</w:t>
      </w:r>
    </w:p>
    <w:p w14:paraId="6F804008" w14:textId="178E93BF" w:rsidR="00A92E6F" w:rsidRDefault="00B07FFE">
      <w:pPr>
        <w:pStyle w:val="Textoindependiente"/>
        <w:spacing w:before="1" w:line="276" w:lineRule="auto"/>
        <w:ind w:left="217" w:right="615"/>
        <w:jc w:val="both"/>
      </w:pPr>
      <w:r>
        <w:t>Algunos otros estudios, incluido el ensayo WHI, sugieren que el uso de THS combinadas puede asociarse a un riesgo similar o ligeramente inferior (ver sección</w:t>
      </w:r>
      <w:r>
        <w:rPr>
          <w:spacing w:val="-8"/>
        </w:rPr>
        <w:t xml:space="preserve"> </w:t>
      </w:r>
      <w:r>
        <w:t>4.8).</w:t>
      </w:r>
    </w:p>
    <w:p w14:paraId="6F804009" w14:textId="77777777" w:rsidR="00A92E6F" w:rsidRDefault="00A92E6F">
      <w:pPr>
        <w:pStyle w:val="Textoindependiente"/>
        <w:spacing w:before="9"/>
        <w:rPr>
          <w:sz w:val="25"/>
        </w:rPr>
      </w:pPr>
    </w:p>
    <w:p w14:paraId="6F80400A" w14:textId="77777777" w:rsidR="00A92E6F" w:rsidRDefault="00B07FFE">
      <w:pPr>
        <w:pStyle w:val="Ttulo1"/>
        <w:jc w:val="both"/>
      </w:pPr>
      <w:r>
        <w:rPr>
          <w:u w:val="thick"/>
        </w:rPr>
        <w:t>Tromboembolismo venoso</w:t>
      </w:r>
    </w:p>
    <w:p w14:paraId="6F80400B" w14:textId="77777777" w:rsidR="00A92E6F" w:rsidRDefault="00A92E6F">
      <w:pPr>
        <w:pStyle w:val="Textoindependiente"/>
        <w:spacing w:before="1"/>
        <w:rPr>
          <w:b/>
          <w:sz w:val="20"/>
        </w:rPr>
      </w:pPr>
    </w:p>
    <w:p w14:paraId="6F80400C" w14:textId="20F3895E" w:rsidR="00A92E6F" w:rsidRDefault="00B07FFE">
      <w:pPr>
        <w:pStyle w:val="Textoindependiente"/>
        <w:spacing w:before="92" w:line="276" w:lineRule="auto"/>
        <w:ind w:left="217" w:right="608"/>
        <w:jc w:val="both"/>
      </w:pPr>
      <w:r>
        <w:t>La THS se asocia con un mayor riesgo (1,3-3 veces)de desarrollar tromboembolismo venoso (TEV), esto es, trombosis venosa profunda o embolia pulmonar. La aparición de TEV es más probable durante el primer año de tratamiento con THS (ver sección 4.8).</w:t>
      </w:r>
      <w:r w:rsidR="0019781F">
        <w:t xml:space="preserve"> </w:t>
      </w:r>
      <w:r>
        <w:t>Un ensayo controlado randomizado y estudios epidemiológicos han encontrado un riesgo de 2 a 3 veces mayor en las pacientes tratadas que en las no tratadas. Para mujeres no tratadas, se estima que el número de casos de TEV que aparecen en un periodo de 5 años es de unos 3 por cada 1.000 mujeres de 50-59 años y de 8 por cada 1.000 mujeres de 60-69 años. Se estima que en mujeres sanas que utilizan THS durante 5 años, el número adicional de casos de TEV en un periodo de 5 años sería de 2 a 6 (mejor estimación = 4) de cada 1.000 mujeres de 50-59 años y de 5 a 15 (mejor estimación = 9) de cada 1.000 mujeres de 60-69 años. La aparición de TEV es más probable durante el primer año de tratamiento con THS (ver sección</w:t>
      </w:r>
      <w:r>
        <w:rPr>
          <w:spacing w:val="-8"/>
        </w:rPr>
        <w:t xml:space="preserve"> </w:t>
      </w:r>
      <w:r>
        <w:t>4.8).</w:t>
      </w:r>
    </w:p>
    <w:p w14:paraId="6F80400D" w14:textId="77777777" w:rsidR="00A92E6F" w:rsidRDefault="00A92E6F">
      <w:pPr>
        <w:spacing w:line="276" w:lineRule="auto"/>
        <w:jc w:val="both"/>
        <w:sectPr w:rsidR="00A92E6F">
          <w:pgSz w:w="11910" w:h="16840"/>
          <w:pgMar w:top="60" w:right="520" w:bottom="980" w:left="1060" w:header="0" w:footer="714" w:gutter="0"/>
          <w:cols w:space="720"/>
        </w:sectPr>
      </w:pPr>
    </w:p>
    <w:p w14:paraId="6F80400E" w14:textId="35F2907A" w:rsidR="00A92E6F" w:rsidRDefault="00A92E6F">
      <w:pPr>
        <w:pStyle w:val="Textoindependiente"/>
        <w:rPr>
          <w:sz w:val="20"/>
        </w:rPr>
      </w:pPr>
    </w:p>
    <w:p w14:paraId="6F80400F" w14:textId="77777777" w:rsidR="00A92E6F" w:rsidRDefault="00A92E6F">
      <w:pPr>
        <w:pStyle w:val="Textoindependiente"/>
        <w:rPr>
          <w:sz w:val="20"/>
        </w:rPr>
      </w:pPr>
    </w:p>
    <w:p w14:paraId="6F804010" w14:textId="77777777" w:rsidR="00A92E6F" w:rsidRDefault="00A92E6F">
      <w:pPr>
        <w:pStyle w:val="Textoindependiente"/>
        <w:rPr>
          <w:sz w:val="20"/>
        </w:rPr>
      </w:pPr>
    </w:p>
    <w:p w14:paraId="6F804011" w14:textId="77777777" w:rsidR="00A92E6F" w:rsidRDefault="00A92E6F">
      <w:pPr>
        <w:pStyle w:val="Textoindependiente"/>
        <w:rPr>
          <w:sz w:val="20"/>
        </w:rPr>
      </w:pPr>
    </w:p>
    <w:p w14:paraId="6F804012" w14:textId="77777777" w:rsidR="00A92E6F" w:rsidRDefault="00A92E6F">
      <w:pPr>
        <w:pStyle w:val="Textoindependiente"/>
        <w:spacing w:before="8"/>
        <w:rPr>
          <w:sz w:val="15"/>
        </w:rPr>
      </w:pPr>
    </w:p>
    <w:p w14:paraId="6F804013" w14:textId="77777777" w:rsidR="00A92E6F" w:rsidRDefault="00B07FFE">
      <w:pPr>
        <w:pStyle w:val="Textoindependiente"/>
        <w:spacing w:before="92" w:line="276" w:lineRule="auto"/>
        <w:ind w:left="217" w:right="614"/>
        <w:jc w:val="both"/>
      </w:pPr>
      <w:r>
        <w:t>Deberá evaluarse cuidadosamente en consulta con la paciente el balance riesgo/beneficio de la THS cuando esté presente algún factor de riesgo de aparición de TEV que no constituya una contraindicación.</w:t>
      </w:r>
    </w:p>
    <w:p w14:paraId="6F804014" w14:textId="77777777" w:rsidR="00A92E6F" w:rsidRDefault="00A92E6F">
      <w:pPr>
        <w:pStyle w:val="Textoindependiente"/>
        <w:spacing w:before="2"/>
        <w:rPr>
          <w:sz w:val="25"/>
        </w:rPr>
      </w:pPr>
    </w:p>
    <w:p w14:paraId="6F804015" w14:textId="77777777" w:rsidR="00A92E6F" w:rsidRDefault="00B07FFE">
      <w:pPr>
        <w:pStyle w:val="Textoindependiente"/>
        <w:spacing w:line="276" w:lineRule="auto"/>
        <w:ind w:left="217" w:right="606"/>
        <w:jc w:val="both"/>
      </w:pPr>
      <w:r>
        <w:t>Entre los factores de riesgo de TEV caben mencionar el uso de estrógenos, edades maduras, cirugía mayor, inmovilización permanente, período de embarazo/postparto, antecedentes personales o familiares, obesidad severa (índice de masa corporal &gt; 30 Kg/m</w:t>
      </w:r>
      <w:r>
        <w:rPr>
          <w:vertAlign w:val="superscript"/>
        </w:rPr>
        <w:t>2</w:t>
      </w:r>
      <w:r>
        <w:t>), lupus eritematoso sistémico (LES) y cáncer. No existe consenso acerca del posible papel de las varices en la aparición del TEV.</w:t>
      </w:r>
    </w:p>
    <w:p w14:paraId="6F804016" w14:textId="77777777" w:rsidR="00A92E6F" w:rsidRDefault="00A92E6F">
      <w:pPr>
        <w:pStyle w:val="Textoindependiente"/>
        <w:spacing w:before="3"/>
        <w:rPr>
          <w:sz w:val="25"/>
        </w:rPr>
      </w:pPr>
    </w:p>
    <w:p w14:paraId="6F804017" w14:textId="77777777" w:rsidR="00A92E6F" w:rsidRDefault="00B07FFE">
      <w:pPr>
        <w:pStyle w:val="Textoindependiente"/>
        <w:spacing w:line="276" w:lineRule="auto"/>
        <w:ind w:left="217" w:right="609"/>
        <w:jc w:val="both"/>
      </w:pPr>
      <w:r>
        <w:t>Las pacientes con antecedentes de TEV o estados trombofílicos conocidos tienen más riesgo de TEV y la THS puede aumentar este riesgo. Con el fin de descartar una posible predisposición trombofílica se deberá estudiar la existencia de antecedentes personales o familiares de tromboembolismo o aborto espontáneo recurrentes. En estas pacientes el uso de THS ha de considerarse contraindicado hasta que se haya realizado una evaluación a fondo de los factores trombofílicos o se haya iniciado el tratamiento anticoagulante.</w:t>
      </w:r>
    </w:p>
    <w:p w14:paraId="6F804018" w14:textId="77777777" w:rsidR="00A92E6F" w:rsidRDefault="00A92E6F">
      <w:pPr>
        <w:pStyle w:val="Textoindependiente"/>
        <w:spacing w:before="5"/>
        <w:rPr>
          <w:sz w:val="25"/>
        </w:rPr>
      </w:pPr>
    </w:p>
    <w:p w14:paraId="6F804019" w14:textId="53C6D3A3" w:rsidR="00A92E6F" w:rsidRDefault="00B07FFE">
      <w:pPr>
        <w:pStyle w:val="Textoindependiente"/>
        <w:spacing w:line="276" w:lineRule="auto"/>
        <w:ind w:left="217" w:right="608"/>
        <w:jc w:val="both"/>
      </w:pPr>
      <w:r>
        <w:t>En las mujeres que no tengan antecedentes de TEV pero tengan familiares de primer grado con antecedentes de trombosis en edad j</w:t>
      </w:r>
      <w:r w:rsidR="00EB66FA">
        <w:t>o</w:t>
      </w:r>
      <w:r>
        <w:t>ven, se puede ofrecer realizar una evaluación después de un cuidadoso asesoramiento de sus limitaciones (sólo una proporción de los defectos trombofílicos son identificados durante la evaluación). Si se detecta un defecto trombofílico el cual se asocia con trombosis en los miembros de la familia o si el defecto es “grave” (por ejemplo, deficiencia en antitrombina, proteína S, o proteína C o combinación de defectos), este medicamento sólo se debe de utilizar después de una evaluación cuidadosa del</w:t>
      </w:r>
      <w:r>
        <w:rPr>
          <w:spacing w:val="-2"/>
        </w:rPr>
        <w:t xml:space="preserve"> </w:t>
      </w:r>
      <w:r>
        <w:t>beneficio/riesgo.</w:t>
      </w:r>
    </w:p>
    <w:p w14:paraId="6F80401A" w14:textId="77777777" w:rsidR="00A92E6F" w:rsidRDefault="00A92E6F">
      <w:pPr>
        <w:pStyle w:val="Textoindependiente"/>
        <w:spacing w:before="5"/>
        <w:rPr>
          <w:sz w:val="25"/>
        </w:rPr>
      </w:pPr>
    </w:p>
    <w:p w14:paraId="6F80401B" w14:textId="77777777" w:rsidR="00A92E6F" w:rsidRDefault="00B07FFE">
      <w:pPr>
        <w:pStyle w:val="Textoindependiente"/>
        <w:spacing w:line="276" w:lineRule="auto"/>
        <w:ind w:left="217" w:right="611"/>
        <w:jc w:val="both"/>
      </w:pPr>
      <w:r>
        <w:t>Las mujeres que ya estén siendo tratadas con anticoagulantes requieren una valoración cuidadosa de los beneficios y los riesgos de la THS antes de comenzar el</w:t>
      </w:r>
      <w:r>
        <w:rPr>
          <w:spacing w:val="-7"/>
        </w:rPr>
        <w:t xml:space="preserve"> </w:t>
      </w:r>
      <w:r>
        <w:t>tratamiento.</w:t>
      </w:r>
    </w:p>
    <w:p w14:paraId="6F80401C" w14:textId="77777777" w:rsidR="00A92E6F" w:rsidRDefault="00A92E6F">
      <w:pPr>
        <w:pStyle w:val="Textoindependiente"/>
        <w:spacing w:before="1"/>
        <w:rPr>
          <w:sz w:val="25"/>
        </w:rPr>
      </w:pPr>
    </w:p>
    <w:p w14:paraId="6F80401D" w14:textId="77777777" w:rsidR="00A92E6F" w:rsidRDefault="00B07FFE">
      <w:pPr>
        <w:pStyle w:val="Textoindependiente"/>
        <w:spacing w:before="1" w:line="276" w:lineRule="auto"/>
        <w:ind w:left="217" w:right="610"/>
        <w:jc w:val="both"/>
      </w:pPr>
      <w:r>
        <w:t>El riesgo de TEV puede incrementarse temporalmente con una inmovilización prolongada, y tras un traumatismo importante o cirugía mayor. Tras una intervención quirúrgica, y al igual que a todas las pacientes en el postoperatorio, se prestará especial atención a las medidas profilácticas para prevenir el TEV. Es conveniente la interrupción temporal del tratamiento de 4 a 6 semanas antes de intervenciones quirúrgicas tras las que se prevea una inmovilización prolongada, como puede ser la cirugía electiva, particularmente cirugía abdominal y la cirugía ortopédica de miembros inferiores. El tratamiento no debe reinstaurarse hasta que la mujer tenga de nuevo movilidad</w:t>
      </w:r>
      <w:r>
        <w:rPr>
          <w:spacing w:val="-6"/>
        </w:rPr>
        <w:t xml:space="preserve"> </w:t>
      </w:r>
      <w:r>
        <w:t>completa.</w:t>
      </w:r>
    </w:p>
    <w:p w14:paraId="6F80401E" w14:textId="77777777" w:rsidR="00A92E6F" w:rsidRDefault="00A92E6F">
      <w:pPr>
        <w:pStyle w:val="Textoindependiente"/>
        <w:spacing w:before="4"/>
        <w:rPr>
          <w:sz w:val="25"/>
        </w:rPr>
      </w:pPr>
    </w:p>
    <w:p w14:paraId="6F80401F" w14:textId="77777777" w:rsidR="00A92E6F" w:rsidRDefault="00B07FFE">
      <w:pPr>
        <w:pStyle w:val="Textoindependiente"/>
        <w:spacing w:line="276" w:lineRule="auto"/>
        <w:ind w:left="217" w:right="606"/>
        <w:jc w:val="both"/>
      </w:pPr>
      <w:r>
        <w:t>El tratamiento debe interrumpirse si aparece un cuadro de TEV. Las mujeres deben ser advertidas de que se pongan inmediatamente en contacto con su médico cuando observen la aparición de un síntoma que pueda sugerir un episodio tromboembólico (p. ej. tumefacción dolorosa de una pierna, dolor repentino en el pecho,</w:t>
      </w:r>
      <w:r>
        <w:rPr>
          <w:spacing w:val="-1"/>
        </w:rPr>
        <w:t xml:space="preserve"> </w:t>
      </w:r>
      <w:r>
        <w:t>disnea).</w:t>
      </w:r>
    </w:p>
    <w:p w14:paraId="6F804020" w14:textId="77777777" w:rsidR="00A92E6F" w:rsidRDefault="00A92E6F">
      <w:pPr>
        <w:pStyle w:val="Textoindependiente"/>
        <w:spacing w:before="8"/>
        <w:rPr>
          <w:sz w:val="25"/>
        </w:rPr>
      </w:pPr>
    </w:p>
    <w:p w14:paraId="6F804021" w14:textId="77777777" w:rsidR="00A92E6F" w:rsidRDefault="00B07FFE">
      <w:pPr>
        <w:pStyle w:val="Ttulo1"/>
        <w:jc w:val="both"/>
      </w:pPr>
      <w:r>
        <w:rPr>
          <w:u w:val="thick"/>
        </w:rPr>
        <w:t>Enfermedad cardiovascular</w:t>
      </w:r>
    </w:p>
    <w:p w14:paraId="6F804022" w14:textId="77777777" w:rsidR="00A92E6F" w:rsidRDefault="00A92E6F">
      <w:pPr>
        <w:pStyle w:val="Textoindependiente"/>
        <w:spacing w:before="2"/>
        <w:rPr>
          <w:b/>
          <w:sz w:val="20"/>
        </w:rPr>
      </w:pPr>
    </w:p>
    <w:p w14:paraId="6F804023" w14:textId="77777777" w:rsidR="00A92E6F" w:rsidRDefault="00B07FFE">
      <w:pPr>
        <w:pStyle w:val="Textoindependiente"/>
        <w:spacing w:before="91"/>
        <w:ind w:left="217"/>
      </w:pPr>
      <w:r>
        <w:t>No deberá utilizarse la THS para prevenir enfermedades cardiovasculares.</w:t>
      </w:r>
    </w:p>
    <w:p w14:paraId="6F804024" w14:textId="77777777" w:rsidR="00A92E6F" w:rsidRDefault="00A92E6F">
      <w:pPr>
        <w:sectPr w:rsidR="00A92E6F">
          <w:pgSz w:w="11910" w:h="16840"/>
          <w:pgMar w:top="60" w:right="520" w:bottom="980" w:left="1060" w:header="0" w:footer="714" w:gutter="0"/>
          <w:cols w:space="720"/>
        </w:sectPr>
      </w:pPr>
    </w:p>
    <w:p w14:paraId="6F804025" w14:textId="62176109" w:rsidR="00A92E6F" w:rsidRDefault="00A92E6F">
      <w:pPr>
        <w:pStyle w:val="Textoindependiente"/>
        <w:rPr>
          <w:sz w:val="20"/>
        </w:rPr>
      </w:pPr>
    </w:p>
    <w:p w14:paraId="6F804026" w14:textId="77777777" w:rsidR="00A92E6F" w:rsidRDefault="00A92E6F">
      <w:pPr>
        <w:pStyle w:val="Textoindependiente"/>
        <w:rPr>
          <w:sz w:val="20"/>
        </w:rPr>
      </w:pPr>
    </w:p>
    <w:p w14:paraId="6F804027" w14:textId="77777777" w:rsidR="00A92E6F" w:rsidRDefault="00A92E6F">
      <w:pPr>
        <w:pStyle w:val="Textoindependiente"/>
        <w:rPr>
          <w:sz w:val="20"/>
        </w:rPr>
      </w:pPr>
    </w:p>
    <w:p w14:paraId="6F804028" w14:textId="77777777" w:rsidR="00A92E6F" w:rsidRDefault="00A92E6F">
      <w:pPr>
        <w:pStyle w:val="Textoindependiente"/>
        <w:rPr>
          <w:sz w:val="20"/>
        </w:rPr>
      </w:pPr>
    </w:p>
    <w:p w14:paraId="6F804029" w14:textId="77777777" w:rsidR="00A92E6F" w:rsidRDefault="00A92E6F">
      <w:pPr>
        <w:pStyle w:val="Textoindependiente"/>
        <w:spacing w:before="1"/>
        <w:rPr>
          <w:sz w:val="16"/>
        </w:rPr>
      </w:pPr>
    </w:p>
    <w:p w14:paraId="6F80402A" w14:textId="77777777" w:rsidR="00A92E6F" w:rsidRDefault="00B07FFE">
      <w:pPr>
        <w:pStyle w:val="Ttulo1"/>
        <w:spacing w:before="92"/>
      </w:pPr>
      <w:r>
        <w:rPr>
          <w:u w:val="thick"/>
        </w:rPr>
        <w:t>Enfermedad arterial coronaria (EAC)</w:t>
      </w:r>
    </w:p>
    <w:p w14:paraId="6F80402B" w14:textId="77777777" w:rsidR="00A92E6F" w:rsidRDefault="00A92E6F">
      <w:pPr>
        <w:pStyle w:val="Textoindependiente"/>
        <w:spacing w:before="2"/>
        <w:rPr>
          <w:b/>
          <w:sz w:val="20"/>
        </w:rPr>
      </w:pPr>
    </w:p>
    <w:p w14:paraId="6F80402C" w14:textId="77777777" w:rsidR="00A92E6F" w:rsidRDefault="00B07FFE">
      <w:pPr>
        <w:pStyle w:val="Textoindependiente"/>
        <w:spacing w:before="91" w:line="276" w:lineRule="auto"/>
        <w:ind w:left="217" w:right="615"/>
        <w:jc w:val="both"/>
      </w:pPr>
      <w:r>
        <w:t>Los datos de ensayos clínicos controlados aleatorizados no muestran protección frente al infarto de miocardio en mujeres con o sin antecedentes de enfermedad arterial coronaria, que recibieron terapia hormonal sustitutiva combinada o basada solo en estrógenos.</w:t>
      </w:r>
    </w:p>
    <w:p w14:paraId="6F80402D" w14:textId="77777777" w:rsidR="00A92E6F" w:rsidRDefault="00A92E6F">
      <w:pPr>
        <w:pStyle w:val="Textoindependiente"/>
        <w:spacing w:before="4"/>
        <w:rPr>
          <w:sz w:val="25"/>
        </w:rPr>
      </w:pPr>
    </w:p>
    <w:p w14:paraId="6F80402E" w14:textId="77777777" w:rsidR="00A92E6F" w:rsidRDefault="00B07FFE">
      <w:pPr>
        <w:pStyle w:val="Textoindependiente"/>
        <w:spacing w:line="276" w:lineRule="auto"/>
        <w:ind w:left="217" w:right="610"/>
        <w:jc w:val="both"/>
      </w:pPr>
      <w:r>
        <w:t>Los datos de ensayos clínicos controlados randomizados no muestran beneficio cardiovascular con el tratamiento continuo combinado con estrógenos conjugados y acetato de medroxiprogesterona (MPA). Dos ensayos clínicos a gran escala (WHI y HERS: Heart and Estrogen/progestin replacement Study) han demostrado un posible aumento de riesgo de morbilidad cardiovascular en el primer año de uso y ningún beneficio global.</w:t>
      </w:r>
    </w:p>
    <w:p w14:paraId="6F80402F" w14:textId="77777777" w:rsidR="00A92E6F" w:rsidRDefault="00A92E6F">
      <w:pPr>
        <w:pStyle w:val="Textoindependiente"/>
        <w:spacing w:before="3"/>
        <w:rPr>
          <w:sz w:val="25"/>
        </w:rPr>
      </w:pPr>
    </w:p>
    <w:p w14:paraId="6F804030" w14:textId="77777777" w:rsidR="00A92E6F" w:rsidRDefault="00B07FFE">
      <w:pPr>
        <w:ind w:left="217"/>
        <w:jc w:val="both"/>
        <w:rPr>
          <w:i/>
        </w:rPr>
      </w:pPr>
      <w:r>
        <w:rPr>
          <w:i/>
        </w:rPr>
        <w:t>Terapia basada solamente en estrógenos:</w:t>
      </w:r>
    </w:p>
    <w:p w14:paraId="6F804031" w14:textId="77777777" w:rsidR="00A92E6F" w:rsidRDefault="00B07FFE">
      <w:pPr>
        <w:pStyle w:val="Textoindependiente"/>
        <w:spacing w:before="40" w:line="276" w:lineRule="auto"/>
        <w:ind w:left="217" w:right="607"/>
        <w:jc w:val="both"/>
      </w:pPr>
      <w:r>
        <w:t>Datos controlados y aleatorizados no sugieren aumentos en el riesgo de enfermedad cardiovascular en mujeres histerectomizadas que usan terapia basada exclusivamente en estrógenos. Hay una evidencia de que el inicio de terapia basada sólo en estrógenos al comienzo de la menopausia puede reducir el riesgo de enfermedad</w:t>
      </w:r>
      <w:r>
        <w:rPr>
          <w:spacing w:val="-1"/>
        </w:rPr>
        <w:t xml:space="preserve"> </w:t>
      </w:r>
      <w:r>
        <w:t>cardiovascular.</w:t>
      </w:r>
    </w:p>
    <w:p w14:paraId="6F804032" w14:textId="77777777" w:rsidR="00A92E6F" w:rsidRDefault="00A92E6F">
      <w:pPr>
        <w:pStyle w:val="Textoindependiente"/>
        <w:spacing w:before="3"/>
        <w:rPr>
          <w:sz w:val="25"/>
        </w:rPr>
      </w:pPr>
    </w:p>
    <w:p w14:paraId="6F804033" w14:textId="77777777" w:rsidR="00A92E6F" w:rsidRDefault="00B07FFE">
      <w:pPr>
        <w:ind w:left="217"/>
        <w:jc w:val="both"/>
        <w:rPr>
          <w:i/>
        </w:rPr>
      </w:pPr>
      <w:r>
        <w:rPr>
          <w:i/>
        </w:rPr>
        <w:t>Terapia combinada estrógenos-progestágenos:</w:t>
      </w:r>
    </w:p>
    <w:p w14:paraId="6F804034" w14:textId="77777777" w:rsidR="00A92E6F" w:rsidRDefault="00B07FFE">
      <w:pPr>
        <w:pStyle w:val="Textoindependiente"/>
        <w:spacing w:before="38" w:line="276" w:lineRule="auto"/>
        <w:ind w:left="217" w:right="609"/>
        <w:jc w:val="both"/>
      </w:pPr>
      <w:r>
        <w:t>El riesgo relativo de enfermedad cardiovascular durante el uso de terapia hormonal sustitutiva combinada estrógeno-progestágeno está ligeramente aumentado. El riesgo absoluto de enfermedad cardiovascular depende fuertemente de la edad. El número de nuevos casos de enfermedad cardiovascular debido al uso de estrógeno-progestágeno es muy bajo en mujeres sanas próximas a la menopausia, pero aumenta con edad avanzada.</w:t>
      </w:r>
    </w:p>
    <w:p w14:paraId="6F804035" w14:textId="77777777" w:rsidR="00A92E6F" w:rsidRDefault="00A92E6F">
      <w:pPr>
        <w:pStyle w:val="Textoindependiente"/>
        <w:spacing w:before="2"/>
        <w:rPr>
          <w:sz w:val="25"/>
        </w:rPr>
      </w:pPr>
    </w:p>
    <w:p w14:paraId="6F804036" w14:textId="71140A5D" w:rsidR="00A92E6F" w:rsidRDefault="00B07FFE">
      <w:pPr>
        <w:pStyle w:val="Textoindependiente"/>
        <w:spacing w:line="276" w:lineRule="auto"/>
        <w:ind w:left="217" w:right="613"/>
        <w:jc w:val="both"/>
      </w:pPr>
      <w:r>
        <w:t>Para otros productos de THS existen solamente datos limitados procedentes de ensayos controlados aleatorizados</w:t>
      </w:r>
      <w:r w:rsidR="00A6623D">
        <w:t xml:space="preserve"> </w:t>
      </w:r>
      <w:r>
        <w:t>que evalúen el riesgo de morbilidad o mortalidad cardiovascular asociado a THS. Por lo tanto, no es seguro que estos hallazgos puedan aplicarse a otros productos de THS.</w:t>
      </w:r>
    </w:p>
    <w:p w14:paraId="6F804037" w14:textId="77777777" w:rsidR="00A92E6F" w:rsidRDefault="00A92E6F">
      <w:pPr>
        <w:pStyle w:val="Textoindependiente"/>
        <w:spacing w:before="9"/>
        <w:rPr>
          <w:sz w:val="25"/>
        </w:rPr>
      </w:pPr>
    </w:p>
    <w:p w14:paraId="6F804038" w14:textId="77777777" w:rsidR="00A92E6F" w:rsidRDefault="00B07FFE">
      <w:pPr>
        <w:pStyle w:val="Ttulo1"/>
        <w:jc w:val="both"/>
      </w:pPr>
      <w:r>
        <w:rPr>
          <w:u w:val="thick"/>
        </w:rPr>
        <w:t>Accidente cerebrovascular</w:t>
      </w:r>
    </w:p>
    <w:p w14:paraId="6F804039" w14:textId="77777777" w:rsidR="00A92E6F" w:rsidRDefault="00A92E6F">
      <w:pPr>
        <w:pStyle w:val="Textoindependiente"/>
        <w:spacing w:before="2"/>
        <w:rPr>
          <w:b/>
          <w:sz w:val="20"/>
        </w:rPr>
      </w:pPr>
    </w:p>
    <w:p w14:paraId="6F80403A" w14:textId="77777777" w:rsidR="00A92E6F" w:rsidRDefault="00B07FFE">
      <w:pPr>
        <w:pStyle w:val="Textoindependiente"/>
        <w:spacing w:before="91" w:line="276" w:lineRule="auto"/>
        <w:ind w:left="217" w:right="607"/>
        <w:jc w:val="both"/>
      </w:pPr>
      <w:r>
        <w:t>En un gran ensayo clínico randomizado (ensayo WHI) se halló, como resultado secundario, un aumento del riesgo de accidente cerebrovascular de tipo isquémico en mujeres sanas durante el tratamiento continuo combinado con estrógenos conjugados y acetato de medroxiprogesterona (MPA). En mujeres que no utilizan THS, se estima que el número de casos de accidente vascular cerebral que aparecen en un periodo de 5 años es de unos 3 por cada 1.000 mujeres de 50-59 años y de 11 por cada 1.000 mujeres de 60-69 años. Se estima que para mujeres que utilizan estrógenos conjugados y MPA durante 5 años, el número de casos adicionales sería de 0 a 3 (mejor estimación = 1) por cada 1.000 mujeres tratadas de 50-59 años y de 1 a 9 (mejor estimación = 4) por cada 1.000 mujeres tratadas de 60-69</w:t>
      </w:r>
      <w:r>
        <w:rPr>
          <w:spacing w:val="-9"/>
        </w:rPr>
        <w:t xml:space="preserve"> </w:t>
      </w:r>
      <w:r>
        <w:t>años.</w:t>
      </w:r>
    </w:p>
    <w:p w14:paraId="6F80403B" w14:textId="77777777" w:rsidR="00A92E6F" w:rsidRDefault="00A92E6F">
      <w:pPr>
        <w:pStyle w:val="Textoindependiente"/>
        <w:spacing w:before="4"/>
        <w:rPr>
          <w:sz w:val="25"/>
        </w:rPr>
      </w:pPr>
    </w:p>
    <w:p w14:paraId="6F80403C" w14:textId="77777777" w:rsidR="00A92E6F" w:rsidRDefault="00B07FFE">
      <w:pPr>
        <w:pStyle w:val="Textoindependiente"/>
        <w:spacing w:line="276" w:lineRule="auto"/>
        <w:ind w:left="217" w:right="607"/>
        <w:jc w:val="both"/>
      </w:pPr>
      <w:r>
        <w:t>La terapia combinada estrógeno-progestágeno y la terapia basada sólo en estrógeno está asociada a un aumento de 1,5 veces el riesgo de accidente cerebrovascular isquémico. El riesgo relativo no cambia con la edad o momento de inicio de la menopausia. No obstante, dado que el riesgo basal de accidente cerebrovascular está fuertemente ligado a la edad, el riesgo general de accidente cerebrovascular en mujeres que utilizan THS aumentará con la edad (ver sección</w:t>
      </w:r>
      <w:r>
        <w:rPr>
          <w:spacing w:val="-6"/>
        </w:rPr>
        <w:t xml:space="preserve"> </w:t>
      </w:r>
      <w:r>
        <w:t>4.8).</w:t>
      </w:r>
    </w:p>
    <w:p w14:paraId="6F80403D" w14:textId="77777777" w:rsidR="00A92E6F" w:rsidRDefault="00A92E6F">
      <w:pPr>
        <w:pStyle w:val="Textoindependiente"/>
        <w:spacing w:before="5"/>
        <w:rPr>
          <w:sz w:val="25"/>
        </w:rPr>
      </w:pPr>
    </w:p>
    <w:p w14:paraId="6F80403E" w14:textId="77777777" w:rsidR="00A92E6F" w:rsidRDefault="00B07FFE">
      <w:pPr>
        <w:pStyle w:val="Textoindependiente"/>
        <w:spacing w:before="1" w:line="276" w:lineRule="auto"/>
        <w:ind w:left="217" w:right="615"/>
        <w:jc w:val="both"/>
      </w:pPr>
      <w:r>
        <w:t>No se conoce si el aumento del riesgo de accidente cerebrovascular también puede aplicarse a otros productos de THS.</w:t>
      </w:r>
    </w:p>
    <w:p w14:paraId="6F80403F" w14:textId="77777777" w:rsidR="00A92E6F" w:rsidRDefault="00A92E6F">
      <w:pPr>
        <w:spacing w:line="276" w:lineRule="auto"/>
        <w:jc w:val="both"/>
        <w:sectPr w:rsidR="00A92E6F">
          <w:pgSz w:w="11910" w:h="16840"/>
          <w:pgMar w:top="60" w:right="520" w:bottom="980" w:left="1060" w:header="0" w:footer="714" w:gutter="0"/>
          <w:cols w:space="720"/>
        </w:sectPr>
      </w:pPr>
    </w:p>
    <w:p w14:paraId="6F804040" w14:textId="6C5DB5E1" w:rsidR="00A92E6F" w:rsidRDefault="00A92E6F">
      <w:pPr>
        <w:pStyle w:val="Textoindependiente"/>
        <w:rPr>
          <w:sz w:val="20"/>
        </w:rPr>
      </w:pPr>
    </w:p>
    <w:p w14:paraId="6F804041" w14:textId="77777777" w:rsidR="00A92E6F" w:rsidRDefault="00A92E6F">
      <w:pPr>
        <w:pStyle w:val="Textoindependiente"/>
        <w:rPr>
          <w:sz w:val="20"/>
        </w:rPr>
      </w:pPr>
    </w:p>
    <w:p w14:paraId="6F804042" w14:textId="77777777" w:rsidR="00A92E6F" w:rsidRDefault="00A92E6F">
      <w:pPr>
        <w:pStyle w:val="Textoindependiente"/>
        <w:rPr>
          <w:sz w:val="20"/>
        </w:rPr>
      </w:pPr>
    </w:p>
    <w:p w14:paraId="6F804043" w14:textId="77777777" w:rsidR="00A92E6F" w:rsidRDefault="00A92E6F">
      <w:pPr>
        <w:pStyle w:val="Textoindependiente"/>
        <w:rPr>
          <w:sz w:val="20"/>
        </w:rPr>
      </w:pPr>
    </w:p>
    <w:p w14:paraId="6F804044" w14:textId="77777777" w:rsidR="00A92E6F" w:rsidRDefault="00A92E6F">
      <w:pPr>
        <w:pStyle w:val="Textoindependiente"/>
        <w:spacing w:before="8"/>
        <w:rPr>
          <w:sz w:val="15"/>
        </w:rPr>
      </w:pPr>
    </w:p>
    <w:p w14:paraId="6F804045" w14:textId="77777777" w:rsidR="00A92E6F" w:rsidRDefault="00B07FFE">
      <w:pPr>
        <w:pStyle w:val="Textoindependiente"/>
        <w:spacing w:before="92" w:line="276" w:lineRule="auto"/>
        <w:ind w:left="217" w:right="721"/>
      </w:pPr>
      <w:r>
        <w:t>Por lo tanto, no existen datos que apoyen que la frecuencia de acontecimientos cardiovasculares o de accidentes cerebrovasculares pueda ser diferente con EVOPAD.</w:t>
      </w:r>
    </w:p>
    <w:p w14:paraId="6F804046" w14:textId="77777777" w:rsidR="00A92E6F" w:rsidRDefault="00A92E6F">
      <w:pPr>
        <w:pStyle w:val="Textoindependiente"/>
        <w:spacing w:before="6"/>
        <w:rPr>
          <w:sz w:val="25"/>
        </w:rPr>
      </w:pPr>
    </w:p>
    <w:p w14:paraId="6F804047" w14:textId="77777777" w:rsidR="00A92E6F" w:rsidRDefault="00B07FFE">
      <w:pPr>
        <w:pStyle w:val="Ttulo1"/>
        <w:spacing w:before="1"/>
      </w:pPr>
      <w:r>
        <w:rPr>
          <w:u w:val="thick"/>
        </w:rPr>
        <w:t>Demencia</w:t>
      </w:r>
    </w:p>
    <w:p w14:paraId="6F804048" w14:textId="77777777" w:rsidR="00A92E6F" w:rsidRDefault="00A92E6F">
      <w:pPr>
        <w:pStyle w:val="Textoindependiente"/>
        <w:spacing w:before="3"/>
        <w:rPr>
          <w:b/>
          <w:sz w:val="20"/>
        </w:rPr>
      </w:pPr>
    </w:p>
    <w:p w14:paraId="6F804049" w14:textId="77777777" w:rsidR="00A92E6F" w:rsidRDefault="00B07FFE">
      <w:pPr>
        <w:pStyle w:val="Textoindependiente"/>
        <w:spacing w:before="92" w:line="276" w:lineRule="auto"/>
        <w:ind w:left="217" w:right="607"/>
        <w:jc w:val="both"/>
      </w:pPr>
      <w:r>
        <w:t>No existe evidencia que concluya una mejora de la función cognitiva. La THS no debe utilizarse para mejorar la función cognitiva o prevenir el deterioro cognitivo, ya que no se ha demostrado eficacia en esta indicación. Existen datos del ensayo WHI que muestran un incremento del riesgo de probable demencia en mujeres comienzan el tratamiento continuo combinado con estrógenos equinos conjugados y acetato de medroxiprogesterona o basado sólo en estrógenos después de los 65 años. Se desconoce si estos hallazgos son aplicables a mujeres postmenopáusicas más jóvenes o a otros productos utilizados como THS.</w:t>
      </w:r>
    </w:p>
    <w:p w14:paraId="6F80404A" w14:textId="77777777" w:rsidR="00A92E6F" w:rsidRDefault="00A92E6F">
      <w:pPr>
        <w:pStyle w:val="Textoindependiente"/>
        <w:spacing w:before="7"/>
        <w:rPr>
          <w:sz w:val="25"/>
        </w:rPr>
      </w:pPr>
    </w:p>
    <w:p w14:paraId="6F80404B" w14:textId="77777777" w:rsidR="00A92E6F" w:rsidRDefault="00B07FFE">
      <w:pPr>
        <w:pStyle w:val="Ttulo1"/>
        <w:jc w:val="both"/>
      </w:pPr>
      <w:r>
        <w:rPr>
          <w:u w:val="thick"/>
        </w:rPr>
        <w:t>Osteoporosis</w:t>
      </w:r>
    </w:p>
    <w:p w14:paraId="6F80404C" w14:textId="77777777" w:rsidR="00A92E6F" w:rsidRDefault="00A92E6F">
      <w:pPr>
        <w:pStyle w:val="Textoindependiente"/>
        <w:spacing w:before="4"/>
        <w:rPr>
          <w:b/>
          <w:sz w:val="20"/>
        </w:rPr>
      </w:pPr>
    </w:p>
    <w:p w14:paraId="6F80404D" w14:textId="77777777" w:rsidR="00A92E6F" w:rsidRDefault="00B07FFE">
      <w:pPr>
        <w:pStyle w:val="Textoindependiente"/>
        <w:spacing w:before="91" w:line="276" w:lineRule="auto"/>
        <w:ind w:left="217" w:right="609"/>
        <w:jc w:val="both"/>
      </w:pPr>
      <w:r>
        <w:t>Al iniciar la THS para la prevención de osteoporosis en mujeres con riesgo de fracturas, deberán valorarse detenidamente los beneficios frente a los riesgos para la paciente, teniendo en cuenta posibles terapias alternativas. Se recomienda una re-evaluación periódica de los riesgos y beneficios a lo largo del tratamiento.</w:t>
      </w:r>
    </w:p>
    <w:p w14:paraId="6F80404E" w14:textId="77777777" w:rsidR="00A92E6F" w:rsidRDefault="00A92E6F">
      <w:pPr>
        <w:pStyle w:val="Textoindependiente"/>
        <w:spacing w:before="9"/>
        <w:rPr>
          <w:sz w:val="25"/>
        </w:rPr>
      </w:pPr>
    </w:p>
    <w:p w14:paraId="6F80404F" w14:textId="77777777" w:rsidR="00A92E6F" w:rsidRDefault="00B07FFE">
      <w:pPr>
        <w:pStyle w:val="Ttulo1"/>
        <w:jc w:val="both"/>
      </w:pPr>
      <w:r>
        <w:rPr>
          <w:u w:val="thick"/>
        </w:rPr>
        <w:t>Otras condiciones</w:t>
      </w:r>
    </w:p>
    <w:p w14:paraId="6F804050" w14:textId="77777777" w:rsidR="00A92E6F" w:rsidRDefault="00A92E6F">
      <w:pPr>
        <w:pStyle w:val="Textoindependiente"/>
        <w:spacing w:before="2"/>
        <w:rPr>
          <w:b/>
          <w:sz w:val="20"/>
        </w:rPr>
      </w:pPr>
    </w:p>
    <w:p w14:paraId="6F804051" w14:textId="77777777" w:rsidR="00A92E6F" w:rsidRDefault="00B07FFE">
      <w:pPr>
        <w:pStyle w:val="Textoindependiente"/>
        <w:spacing w:before="91" w:line="276" w:lineRule="auto"/>
        <w:ind w:left="217" w:right="613"/>
        <w:jc w:val="both"/>
      </w:pPr>
      <w:r>
        <w:t>Se deberá vigilar estrechamente a las pacientes con disfunción renal o cardíaca ya que los estrógenos pueden causar retención de líquidos. También se deberá vigilar estrechamente a las pacientes con insuficiencia renal en fase terminal ya que el nivel plasmático de los principios activos circulantes de EVOPAD es probable que aumente.</w:t>
      </w:r>
    </w:p>
    <w:p w14:paraId="6F804052" w14:textId="77777777" w:rsidR="00A92E6F" w:rsidRDefault="00A92E6F">
      <w:pPr>
        <w:pStyle w:val="Textoindependiente"/>
        <w:spacing w:before="3"/>
        <w:rPr>
          <w:sz w:val="25"/>
        </w:rPr>
      </w:pPr>
    </w:p>
    <w:p w14:paraId="6F804053" w14:textId="77777777" w:rsidR="00A92E6F" w:rsidRDefault="00B07FFE">
      <w:pPr>
        <w:pStyle w:val="Textoindependiente"/>
        <w:spacing w:line="276" w:lineRule="auto"/>
        <w:ind w:left="217" w:right="609"/>
        <w:jc w:val="both"/>
      </w:pPr>
      <w:r>
        <w:t>Las mujeres con hipertrigliceridemia pre-existente deberán ser estrechamente vigiladas durante el tratamiento sustitutivo con estrógenos u hormonas, dado que se han descrito raramente casos de elevaciones importantes de triglicéridos plasmáticos, que han dado lugar a un cuadro de pancreatitis con el tratamiento oral con estrógeno en pacientes con esta</w:t>
      </w:r>
      <w:r>
        <w:rPr>
          <w:spacing w:val="-3"/>
        </w:rPr>
        <w:t xml:space="preserve"> </w:t>
      </w:r>
      <w:r>
        <w:t>alteración.</w:t>
      </w:r>
    </w:p>
    <w:p w14:paraId="6F804054" w14:textId="77777777" w:rsidR="00A92E6F" w:rsidRDefault="00A92E6F">
      <w:pPr>
        <w:pStyle w:val="Textoindependiente"/>
        <w:spacing w:before="4"/>
        <w:rPr>
          <w:sz w:val="25"/>
        </w:rPr>
      </w:pPr>
    </w:p>
    <w:p w14:paraId="6F804055" w14:textId="77777777" w:rsidR="00A92E6F" w:rsidRDefault="00B07FFE">
      <w:pPr>
        <w:pStyle w:val="Textoindependiente"/>
        <w:spacing w:line="276" w:lineRule="auto"/>
        <w:ind w:left="217" w:right="613"/>
        <w:jc w:val="both"/>
      </w:pPr>
      <w:r>
        <w:t>Aunque los datos recogidos hasta la actualidad sugieren que los estrógenos no alteran el metabolismo de los carbohidratos, las mujeres diabéticas deberán ser controladas durante el inicio del tratamiento hasta que no se disponga de más</w:t>
      </w:r>
      <w:r>
        <w:rPr>
          <w:spacing w:val="-1"/>
        </w:rPr>
        <w:t xml:space="preserve"> </w:t>
      </w:r>
      <w:r>
        <w:t>información.</w:t>
      </w:r>
    </w:p>
    <w:p w14:paraId="6F804056" w14:textId="77777777" w:rsidR="00A92E6F" w:rsidRDefault="00A92E6F">
      <w:pPr>
        <w:pStyle w:val="Textoindependiente"/>
        <w:spacing w:before="3"/>
        <w:rPr>
          <w:sz w:val="25"/>
        </w:rPr>
      </w:pPr>
    </w:p>
    <w:p w14:paraId="6F804057" w14:textId="77777777" w:rsidR="00A92E6F" w:rsidRDefault="00B07FFE">
      <w:pPr>
        <w:pStyle w:val="Textoindependiente"/>
        <w:spacing w:before="1" w:line="276" w:lineRule="auto"/>
        <w:ind w:left="217" w:right="609"/>
        <w:jc w:val="both"/>
      </w:pPr>
      <w:r>
        <w:t xml:space="preserve">Los estrógenos aumentan la unión de globulina tiroidea (TBG), dando lugar a niveles aumentados de hormona tiroidea circulante, como refleja la PBI (yodo ligado a proteína), los niveles de T4 (determinados por columna o radioinmunoensayo) o los niveles de T3 (determinados por radioinmunoensayo). La recaptación de T3 está disminuida, lo que refleja el aumento de TBG. Las concentraciones de T3 y T4 libres no se modifican. Las concentraciones séricas de otras proteínas de unión pueden también verse modificadas, entre ellas la globulina de unión a corticoides (CBG), </w:t>
      </w:r>
      <w:r>
        <w:rPr>
          <w:spacing w:val="3"/>
        </w:rPr>
        <w:t xml:space="preserve">la </w:t>
      </w:r>
      <w:r>
        <w:t xml:space="preserve">globulina de unión a hormonas sexuales (SHBG), lo que dará lugar a una elevación de los niveles de corticosteroides y esteroides séricos respectivamente. Las concentraciones de hormona libre o biológicamente activa no se modifican. Otras proteínas plasmáticas </w:t>
      </w:r>
      <w:r>
        <w:rPr>
          <w:spacing w:val="-3"/>
        </w:rPr>
        <w:t xml:space="preserve">como </w:t>
      </w:r>
      <w:r>
        <w:t>el sustrato renina/angiotensinógeno, alfa-1-antitripsina o ceruloplasmina, pueden verse también</w:t>
      </w:r>
      <w:r>
        <w:rPr>
          <w:spacing w:val="-3"/>
        </w:rPr>
        <w:t xml:space="preserve"> </w:t>
      </w:r>
      <w:r>
        <w:t>incrementadas.</w:t>
      </w:r>
    </w:p>
    <w:p w14:paraId="6F804058" w14:textId="77777777" w:rsidR="00A92E6F" w:rsidRDefault="00A92E6F">
      <w:pPr>
        <w:pStyle w:val="Textoindependiente"/>
        <w:spacing w:before="5"/>
        <w:rPr>
          <w:sz w:val="25"/>
        </w:rPr>
      </w:pPr>
    </w:p>
    <w:p w14:paraId="6F804059" w14:textId="77777777" w:rsidR="00A92E6F" w:rsidRDefault="00B07FFE">
      <w:pPr>
        <w:pStyle w:val="Textoindependiente"/>
        <w:spacing w:line="276" w:lineRule="auto"/>
        <w:ind w:left="217" w:right="612"/>
        <w:jc w:val="both"/>
      </w:pPr>
      <w:r>
        <w:t>Especialmente en las mujeres con antecedentes de cloasma uterino, se puede producir en ocasiones cloasma. Las mujeres con predisposición a cloasma deben minimizar la exposición al sol o radiación ultravioleta mientras tomen</w:t>
      </w:r>
      <w:r>
        <w:rPr>
          <w:spacing w:val="-3"/>
        </w:rPr>
        <w:t xml:space="preserve"> </w:t>
      </w:r>
      <w:r>
        <w:t>THS.</w:t>
      </w:r>
    </w:p>
    <w:p w14:paraId="6F80405A" w14:textId="77777777" w:rsidR="00A92E6F" w:rsidRDefault="00A92E6F">
      <w:pPr>
        <w:spacing w:line="276" w:lineRule="auto"/>
        <w:jc w:val="both"/>
        <w:sectPr w:rsidR="00A92E6F">
          <w:pgSz w:w="11910" w:h="16840"/>
          <w:pgMar w:top="60" w:right="520" w:bottom="980" w:left="1060" w:header="0" w:footer="714" w:gutter="0"/>
          <w:cols w:space="720"/>
        </w:sectPr>
      </w:pPr>
    </w:p>
    <w:p w14:paraId="6F80405B" w14:textId="3E9B717E" w:rsidR="00A92E6F" w:rsidRDefault="00A92E6F">
      <w:pPr>
        <w:pStyle w:val="Textoindependiente"/>
        <w:rPr>
          <w:sz w:val="20"/>
        </w:rPr>
      </w:pPr>
    </w:p>
    <w:p w14:paraId="6F80405C" w14:textId="77777777" w:rsidR="00A92E6F" w:rsidRDefault="00A92E6F">
      <w:pPr>
        <w:pStyle w:val="Textoindependiente"/>
        <w:rPr>
          <w:sz w:val="20"/>
        </w:rPr>
      </w:pPr>
    </w:p>
    <w:p w14:paraId="6F80405D" w14:textId="77777777" w:rsidR="00A92E6F" w:rsidRDefault="00A92E6F">
      <w:pPr>
        <w:pStyle w:val="Textoindependiente"/>
        <w:rPr>
          <w:sz w:val="20"/>
        </w:rPr>
      </w:pPr>
    </w:p>
    <w:p w14:paraId="6F80405E" w14:textId="77777777" w:rsidR="00A92E6F" w:rsidRDefault="00A92E6F">
      <w:pPr>
        <w:pStyle w:val="Textoindependiente"/>
        <w:rPr>
          <w:sz w:val="20"/>
        </w:rPr>
      </w:pPr>
    </w:p>
    <w:p w14:paraId="6F80405F" w14:textId="77777777" w:rsidR="00A92E6F" w:rsidRDefault="00A92E6F">
      <w:pPr>
        <w:pStyle w:val="Textoindependiente"/>
        <w:rPr>
          <w:sz w:val="20"/>
        </w:rPr>
      </w:pPr>
    </w:p>
    <w:p w14:paraId="6F804060" w14:textId="77777777" w:rsidR="00A92E6F" w:rsidRDefault="00A92E6F">
      <w:pPr>
        <w:pStyle w:val="Textoindependiente"/>
        <w:spacing w:before="4"/>
        <w:rPr>
          <w:sz w:val="21"/>
        </w:rPr>
      </w:pPr>
    </w:p>
    <w:p w14:paraId="6F804061" w14:textId="77777777" w:rsidR="00A92E6F" w:rsidRDefault="00B07FFE">
      <w:pPr>
        <w:pStyle w:val="Ttulo1"/>
        <w:spacing w:before="92"/>
      </w:pPr>
      <w:r>
        <w:rPr>
          <w:u w:val="thick"/>
        </w:rPr>
        <w:t>Sensibilización por contacto</w:t>
      </w:r>
    </w:p>
    <w:p w14:paraId="6F804062" w14:textId="77777777" w:rsidR="00A92E6F" w:rsidRDefault="00A92E6F">
      <w:pPr>
        <w:pStyle w:val="Textoindependiente"/>
        <w:spacing w:before="2"/>
        <w:rPr>
          <w:b/>
          <w:sz w:val="20"/>
        </w:rPr>
      </w:pPr>
    </w:p>
    <w:p w14:paraId="6F804063" w14:textId="77777777" w:rsidR="00A92E6F" w:rsidRDefault="00B07FFE">
      <w:pPr>
        <w:pStyle w:val="Textoindependiente"/>
        <w:spacing w:before="91" w:line="276" w:lineRule="auto"/>
        <w:ind w:left="217" w:right="613"/>
        <w:jc w:val="both"/>
      </w:pPr>
      <w:r>
        <w:t>La sensibilización por contacto ocurre con todas las aplicaciones tópicas. Aunque es extremadamente raro, se deberá advertir a las mujeres que desarrollen sensibilización por contacto a alguno de los componentes del parche de que podría aparecer una reacción de hipersensibilidad grave con la exposición continuada.</w:t>
      </w:r>
    </w:p>
    <w:p w14:paraId="6F804064" w14:textId="77777777" w:rsidR="00A92E6F" w:rsidRDefault="00B07FFE">
      <w:pPr>
        <w:pStyle w:val="Textoindependiente"/>
        <w:spacing w:before="30" w:line="584" w:lineRule="exact"/>
        <w:ind w:left="217" w:right="1357"/>
      </w:pPr>
      <w:r>
        <w:t>Deberá advertirse a las mujeres que EVOPAD no es un anticonceptivo, ni restablecerá la fertilidad. Los parches deben guardarse fuera del alcance de los niños y animales.</w:t>
      </w:r>
    </w:p>
    <w:p w14:paraId="6F804065" w14:textId="77777777" w:rsidR="00A92E6F" w:rsidRDefault="00B07FFE">
      <w:pPr>
        <w:pStyle w:val="Ttulo1"/>
        <w:numPr>
          <w:ilvl w:val="1"/>
          <w:numId w:val="5"/>
        </w:numPr>
        <w:tabs>
          <w:tab w:val="left" w:pos="549"/>
        </w:tabs>
        <w:spacing w:before="171"/>
        <w:ind w:hanging="331"/>
        <w:jc w:val="both"/>
      </w:pPr>
      <w:r>
        <w:t>Interacción con otros medicamentos y otras formas de</w:t>
      </w:r>
      <w:r>
        <w:rPr>
          <w:spacing w:val="-9"/>
        </w:rPr>
        <w:t xml:space="preserve"> </w:t>
      </w:r>
      <w:r>
        <w:t>interacción</w:t>
      </w:r>
    </w:p>
    <w:p w14:paraId="6F804066" w14:textId="77777777" w:rsidR="00A92E6F" w:rsidRDefault="00A92E6F">
      <w:pPr>
        <w:pStyle w:val="Textoindependiente"/>
        <w:spacing w:before="4"/>
        <w:rPr>
          <w:b/>
          <w:sz w:val="20"/>
        </w:rPr>
      </w:pPr>
    </w:p>
    <w:p w14:paraId="6F804067" w14:textId="77777777" w:rsidR="00A92E6F" w:rsidRDefault="00B07FFE">
      <w:pPr>
        <w:pStyle w:val="Textoindependiente"/>
        <w:spacing w:line="276" w:lineRule="auto"/>
        <w:ind w:left="217" w:right="607"/>
        <w:jc w:val="both"/>
      </w:pPr>
      <w:r>
        <w:t>El metabolismo de los estrógenos y progestágenos puede estar aumentado con el uso concomitante de sustancias que se conoce que inducen los enzimas metabolizadoras de fármacos, específicamente las enzimas del citocromo P450, tales como anticonvulsivantes (p. ej. barbitúricos (fenobarbital), hidantoínas (fenitoína), carbamazepina), meprobamato, bosentan y antiinfecciosos (p. ej. rifampicina, rifabutina, nevirapina, efavirenz).</w:t>
      </w:r>
    </w:p>
    <w:p w14:paraId="6F804068" w14:textId="77777777" w:rsidR="00A92E6F" w:rsidRDefault="00A92E6F">
      <w:pPr>
        <w:pStyle w:val="Textoindependiente"/>
        <w:spacing w:before="3"/>
        <w:rPr>
          <w:sz w:val="25"/>
        </w:rPr>
      </w:pPr>
    </w:p>
    <w:p w14:paraId="6F804069" w14:textId="77777777" w:rsidR="00A92E6F" w:rsidRDefault="00B07FFE">
      <w:pPr>
        <w:pStyle w:val="Textoindependiente"/>
        <w:spacing w:before="1" w:line="276" w:lineRule="auto"/>
        <w:ind w:left="217" w:right="615"/>
        <w:jc w:val="both"/>
      </w:pPr>
      <w:r>
        <w:t>Se deberá tener precaución si la mujer está tomando inhibidores de la proteasa (p.ej. ritonavir y nelfinavir), que son inhibidores potentes de los enzimas del citocromo P450, pero por el contrario, muestran propiedades inductoras cuando se utilizan de forma concomitante con hormonas esteroides.</w:t>
      </w:r>
    </w:p>
    <w:p w14:paraId="6F80406A" w14:textId="77777777" w:rsidR="00A92E6F" w:rsidRDefault="00A92E6F">
      <w:pPr>
        <w:pStyle w:val="Textoindependiente"/>
        <w:spacing w:before="3"/>
        <w:rPr>
          <w:sz w:val="25"/>
        </w:rPr>
      </w:pPr>
    </w:p>
    <w:p w14:paraId="6F80406B" w14:textId="77777777" w:rsidR="00A92E6F" w:rsidRDefault="00B07FFE">
      <w:pPr>
        <w:pStyle w:val="Textoindependiente"/>
        <w:spacing w:line="276" w:lineRule="auto"/>
        <w:ind w:left="217" w:right="607"/>
        <w:jc w:val="both"/>
      </w:pPr>
      <w:r>
        <w:t>Preparaciones a base de plantas medicinales que contengan hierba de San Juan (</w:t>
      </w:r>
      <w:r>
        <w:rPr>
          <w:i/>
        </w:rPr>
        <w:t>Hypericum perforatum</w:t>
      </w:r>
      <w:r>
        <w:t>) también pueden inducir el metabolismo de los estrógenos y progestágenos.</w:t>
      </w:r>
    </w:p>
    <w:p w14:paraId="6F80406C" w14:textId="77777777" w:rsidR="00A92E6F" w:rsidRDefault="00A92E6F">
      <w:pPr>
        <w:pStyle w:val="Textoindependiente"/>
        <w:spacing w:before="4"/>
        <w:rPr>
          <w:sz w:val="25"/>
        </w:rPr>
      </w:pPr>
    </w:p>
    <w:p w14:paraId="6F80406D" w14:textId="77777777" w:rsidR="00A92E6F" w:rsidRDefault="00B07FFE">
      <w:pPr>
        <w:pStyle w:val="Textoindependiente"/>
        <w:spacing w:before="1" w:line="276" w:lineRule="auto"/>
        <w:ind w:left="217" w:right="611"/>
        <w:jc w:val="both"/>
      </w:pPr>
      <w:r>
        <w:t>Clínicamente, un aumento en el metabolismo de los estrógenos y progestágenos puede traducirse en una reducción de sus efectos y en cambios en el patrón de los sangrados uterinos.</w:t>
      </w:r>
    </w:p>
    <w:p w14:paraId="6F80406E" w14:textId="77777777" w:rsidR="00A92E6F" w:rsidRDefault="00A92E6F">
      <w:pPr>
        <w:pStyle w:val="Textoindependiente"/>
        <w:spacing w:before="2"/>
        <w:rPr>
          <w:sz w:val="25"/>
        </w:rPr>
      </w:pPr>
    </w:p>
    <w:p w14:paraId="6F80406F" w14:textId="77777777" w:rsidR="00A92E6F" w:rsidRDefault="00B07FFE">
      <w:pPr>
        <w:pStyle w:val="Textoindependiente"/>
        <w:spacing w:line="276" w:lineRule="auto"/>
        <w:ind w:left="217" w:right="613"/>
        <w:jc w:val="both"/>
      </w:pPr>
      <w:r>
        <w:t>La administración transdérmica de THS evita el efecto de primer paso hepático, y por lo tanto, la aplicación transdérmica de estrógenos puede estar menos afectada por los medicamentos inductores enzimáticos que la administración oral de hormonas.</w:t>
      </w:r>
    </w:p>
    <w:p w14:paraId="6F804070" w14:textId="77777777" w:rsidR="00A92E6F" w:rsidRDefault="00A92E6F">
      <w:pPr>
        <w:pStyle w:val="Textoindependiente"/>
        <w:spacing w:before="3"/>
        <w:rPr>
          <w:sz w:val="25"/>
        </w:rPr>
      </w:pPr>
    </w:p>
    <w:p w14:paraId="6F804071" w14:textId="77777777" w:rsidR="00A92E6F" w:rsidRDefault="00B07FFE">
      <w:pPr>
        <w:pStyle w:val="Textoindependiente"/>
        <w:spacing w:before="1" w:line="276" w:lineRule="auto"/>
        <w:ind w:left="217" w:right="608"/>
        <w:jc w:val="both"/>
      </w:pPr>
      <w:r>
        <w:t>Los anticonceptivos orales que contienen estrógenos han mostrado una disminución significativa en las concentraciones plasmáticas de lamotrigina cuando se coadministran debido a la inducción de la glucuronidación de lamotrigina. Esto podría reducir el control de las convulsiones. Aunque no se ha estudiado la interacción potencial entre la terapia hormonal sustitutiva con estrógenos y lamotrigina, se espera que exista una interacción similar, que podría llevar a una reducción del control de las convulsiones entre mujeres que toman ambos medicamentos juntos. Por lo tanto, puede ser necesario un ajuste de la dosis de</w:t>
      </w:r>
      <w:r>
        <w:rPr>
          <w:spacing w:val="-3"/>
        </w:rPr>
        <w:t xml:space="preserve"> </w:t>
      </w:r>
      <w:r>
        <w:t>lamotrigina.</w:t>
      </w:r>
    </w:p>
    <w:p w14:paraId="6F804072" w14:textId="77777777" w:rsidR="00A92E6F" w:rsidRDefault="00B07FFE">
      <w:pPr>
        <w:pStyle w:val="Ttulo1"/>
        <w:numPr>
          <w:ilvl w:val="1"/>
          <w:numId w:val="5"/>
        </w:numPr>
        <w:tabs>
          <w:tab w:val="left" w:pos="549"/>
        </w:tabs>
        <w:spacing w:before="205"/>
        <w:ind w:hanging="331"/>
        <w:jc w:val="both"/>
      </w:pPr>
      <w:r>
        <w:t>Fertilidad, embarazo y</w:t>
      </w:r>
      <w:r>
        <w:rPr>
          <w:spacing w:val="-7"/>
        </w:rPr>
        <w:t xml:space="preserve"> </w:t>
      </w:r>
      <w:r>
        <w:t>lactancia</w:t>
      </w:r>
    </w:p>
    <w:p w14:paraId="6F804073" w14:textId="77777777" w:rsidR="00A92E6F" w:rsidRDefault="00A92E6F">
      <w:pPr>
        <w:pStyle w:val="Textoindependiente"/>
        <w:spacing w:before="4"/>
        <w:rPr>
          <w:b/>
          <w:sz w:val="20"/>
        </w:rPr>
      </w:pPr>
    </w:p>
    <w:p w14:paraId="6F804074" w14:textId="77777777" w:rsidR="00A92E6F" w:rsidRDefault="00B07FFE">
      <w:pPr>
        <w:pStyle w:val="Textoindependiente"/>
        <w:spacing w:before="1"/>
        <w:ind w:left="217"/>
        <w:jc w:val="both"/>
      </w:pPr>
      <w:r>
        <w:rPr>
          <w:u w:val="single"/>
        </w:rPr>
        <w:t>Embarazo</w:t>
      </w:r>
    </w:p>
    <w:p w14:paraId="6F804075" w14:textId="77777777" w:rsidR="00A92E6F" w:rsidRDefault="00B07FFE">
      <w:pPr>
        <w:pStyle w:val="Textoindependiente"/>
        <w:spacing w:before="37" w:line="276" w:lineRule="auto"/>
        <w:ind w:left="217" w:right="607"/>
        <w:jc w:val="both"/>
      </w:pPr>
      <w:r>
        <w:t>EVOPAD no debe utilizarse durante el embarazo. Si se produce el embarazo durante el tratamiento con EVOPAD, éste debe interrumpirse inmediatamente. Los resultados de la mayoría de los estudios epidemiológicos realizados hasta la fecha en los que se refería una exposición fetal inadvertida a estrógenos no mostraron efectos teratógenos o fetotóxicos.</w:t>
      </w:r>
    </w:p>
    <w:p w14:paraId="6F804076" w14:textId="77777777" w:rsidR="00A92E6F" w:rsidRDefault="00A92E6F">
      <w:pPr>
        <w:pStyle w:val="Textoindependiente"/>
        <w:spacing w:before="3"/>
        <w:rPr>
          <w:sz w:val="25"/>
        </w:rPr>
      </w:pPr>
    </w:p>
    <w:p w14:paraId="6F804077" w14:textId="77777777" w:rsidR="00A92E6F" w:rsidRDefault="00B07FFE">
      <w:pPr>
        <w:pStyle w:val="Textoindependiente"/>
        <w:ind w:left="217"/>
        <w:jc w:val="both"/>
      </w:pPr>
      <w:r>
        <w:rPr>
          <w:u w:val="single"/>
        </w:rPr>
        <w:t>Lactancia</w:t>
      </w:r>
    </w:p>
    <w:p w14:paraId="6F804078" w14:textId="77777777" w:rsidR="00A92E6F" w:rsidRDefault="00A92E6F">
      <w:pPr>
        <w:jc w:val="both"/>
        <w:sectPr w:rsidR="00A92E6F">
          <w:pgSz w:w="11910" w:h="16840"/>
          <w:pgMar w:top="60" w:right="520" w:bottom="980" w:left="1060" w:header="0" w:footer="714" w:gutter="0"/>
          <w:cols w:space="720"/>
        </w:sectPr>
      </w:pPr>
    </w:p>
    <w:p w14:paraId="6F804079" w14:textId="310F9A33" w:rsidR="00A92E6F" w:rsidRDefault="00A92E6F">
      <w:pPr>
        <w:pStyle w:val="Textoindependiente"/>
        <w:rPr>
          <w:sz w:val="20"/>
        </w:rPr>
      </w:pPr>
    </w:p>
    <w:p w14:paraId="6F80407A" w14:textId="77777777" w:rsidR="00A92E6F" w:rsidRDefault="00A92E6F">
      <w:pPr>
        <w:pStyle w:val="Textoindependiente"/>
        <w:rPr>
          <w:sz w:val="20"/>
        </w:rPr>
      </w:pPr>
    </w:p>
    <w:p w14:paraId="6F80407B" w14:textId="77777777" w:rsidR="00A92E6F" w:rsidRDefault="00A92E6F">
      <w:pPr>
        <w:pStyle w:val="Textoindependiente"/>
        <w:rPr>
          <w:sz w:val="20"/>
        </w:rPr>
      </w:pPr>
    </w:p>
    <w:p w14:paraId="6F80407C" w14:textId="77777777" w:rsidR="00A92E6F" w:rsidRDefault="00A92E6F">
      <w:pPr>
        <w:pStyle w:val="Textoindependiente"/>
        <w:rPr>
          <w:sz w:val="20"/>
        </w:rPr>
      </w:pPr>
    </w:p>
    <w:p w14:paraId="6F80407D" w14:textId="77777777" w:rsidR="00A92E6F" w:rsidRDefault="00A92E6F">
      <w:pPr>
        <w:pStyle w:val="Textoindependiente"/>
        <w:spacing w:before="8"/>
        <w:rPr>
          <w:sz w:val="15"/>
        </w:rPr>
      </w:pPr>
    </w:p>
    <w:p w14:paraId="6F80407E" w14:textId="77777777" w:rsidR="00A92E6F" w:rsidRDefault="00B07FFE">
      <w:pPr>
        <w:pStyle w:val="Textoindependiente"/>
        <w:spacing w:before="92"/>
        <w:ind w:left="217"/>
      </w:pPr>
      <w:r>
        <w:t>EVOPAD no está indicado durante la lactancia.</w:t>
      </w:r>
    </w:p>
    <w:p w14:paraId="6F80407F" w14:textId="77777777" w:rsidR="00A92E6F" w:rsidRDefault="00B07FFE">
      <w:pPr>
        <w:pStyle w:val="Ttulo1"/>
        <w:numPr>
          <w:ilvl w:val="1"/>
          <w:numId w:val="5"/>
        </w:numPr>
        <w:tabs>
          <w:tab w:val="left" w:pos="549"/>
        </w:tabs>
        <w:spacing w:before="203"/>
        <w:ind w:hanging="331"/>
      </w:pPr>
      <w:r>
        <w:t>Efectos sobre la capacidad para conducir y utilizar</w:t>
      </w:r>
      <w:r>
        <w:rPr>
          <w:spacing w:val="-12"/>
        </w:rPr>
        <w:t xml:space="preserve"> </w:t>
      </w:r>
      <w:r>
        <w:t>máquinas</w:t>
      </w:r>
    </w:p>
    <w:p w14:paraId="6F804080" w14:textId="77777777" w:rsidR="00A92E6F" w:rsidRDefault="00A92E6F">
      <w:pPr>
        <w:pStyle w:val="Textoindependiente"/>
        <w:spacing w:before="4"/>
        <w:rPr>
          <w:b/>
          <w:sz w:val="20"/>
        </w:rPr>
      </w:pPr>
    </w:p>
    <w:p w14:paraId="6F804081" w14:textId="77777777" w:rsidR="00A92E6F" w:rsidRDefault="00B07FFE">
      <w:pPr>
        <w:pStyle w:val="Textoindependiente"/>
        <w:spacing w:line="276" w:lineRule="auto"/>
        <w:ind w:left="217" w:right="721"/>
      </w:pPr>
      <w:r>
        <w:t>No se han llevado a cabo estudios que valoren los efectos de EVOPAD sobre la capacidad para conducir o utilizar máquinas.</w:t>
      </w:r>
    </w:p>
    <w:p w14:paraId="6F804082" w14:textId="77777777" w:rsidR="00A92E6F" w:rsidRDefault="00B07FFE">
      <w:pPr>
        <w:pStyle w:val="Ttulo1"/>
        <w:numPr>
          <w:ilvl w:val="1"/>
          <w:numId w:val="5"/>
        </w:numPr>
        <w:tabs>
          <w:tab w:val="left" w:pos="549"/>
        </w:tabs>
        <w:spacing w:before="203"/>
        <w:ind w:hanging="331"/>
      </w:pPr>
      <w:r>
        <w:t>Reacciones</w:t>
      </w:r>
      <w:r>
        <w:rPr>
          <w:spacing w:val="-1"/>
        </w:rPr>
        <w:t xml:space="preserve"> </w:t>
      </w:r>
      <w:r>
        <w:t>adversas</w:t>
      </w:r>
    </w:p>
    <w:p w14:paraId="6F804083" w14:textId="77777777" w:rsidR="00A92E6F" w:rsidRDefault="00A92E6F">
      <w:pPr>
        <w:pStyle w:val="Textoindependiente"/>
        <w:spacing w:before="4"/>
        <w:rPr>
          <w:b/>
          <w:sz w:val="20"/>
        </w:rPr>
      </w:pPr>
    </w:p>
    <w:p w14:paraId="6F804084" w14:textId="77777777" w:rsidR="00A92E6F" w:rsidRDefault="00B07FFE">
      <w:pPr>
        <w:pStyle w:val="Textoindependiente"/>
        <w:spacing w:line="276" w:lineRule="auto"/>
        <w:ind w:left="217" w:right="608"/>
        <w:jc w:val="both"/>
      </w:pPr>
      <w:r>
        <w:t>La seguridad de EVOPAD fue evaluada en 2.584 pacientes que participaron en 15 ensayos clínicos y que recibieron al menos una administración de EVOPAD. En 8 de los 15 ensayos clínicos, se les preguntó así mismo a los pacientes sobre los signos y síntomas en el lugar de aplicación (N=1.739 pacientes). Basándonos en los datos de seguridad de estos ensayos clínicos, las reacciones adversas a medicamentos (RAMs) notificadas con mayor frecuencia (incidencia ≥ 5 %) fueron (con % de frecuencia): exantema en el lugar de aplicación (20,8%), prurito en el lugar de aplicación (19,8%), eritema en el lugar de aplicación (8,5%), dolor de cabeza (7,8%) y dolor en el pecho (6,6%).</w:t>
      </w:r>
    </w:p>
    <w:p w14:paraId="6F804085" w14:textId="77777777" w:rsidR="00A92E6F" w:rsidRDefault="00A92E6F">
      <w:pPr>
        <w:pStyle w:val="Textoindependiente"/>
        <w:spacing w:before="5"/>
        <w:rPr>
          <w:sz w:val="25"/>
        </w:rPr>
      </w:pPr>
    </w:p>
    <w:p w14:paraId="6F804086" w14:textId="0DCDE7AF" w:rsidR="00A92E6F" w:rsidRDefault="00B07FFE">
      <w:pPr>
        <w:pStyle w:val="Textoindependiente"/>
        <w:ind w:left="217" w:right="606"/>
        <w:jc w:val="both"/>
      </w:pPr>
      <w:r>
        <w:t>Incluyendo las RAMs mencionadas con anterioridad, la siguiente tabla recoge las RAMs que han sido notificadas durante la utilización de EVOPAD en cualquier ensayo clínico o en la experiencia</w:t>
      </w:r>
      <w:r w:rsidR="0043263C">
        <w:t xml:space="preserve"> </w:t>
      </w:r>
      <w:r>
        <w:t>post comercialización. Las categorías de frecuencia se agrupan utilizando el siguiente criterio:</w:t>
      </w:r>
    </w:p>
    <w:p w14:paraId="6F804087" w14:textId="77777777" w:rsidR="00A92E6F" w:rsidRDefault="00A92E6F">
      <w:pPr>
        <w:pStyle w:val="Textoindependiente"/>
        <w:spacing w:before="2"/>
        <w:rPr>
          <w:sz w:val="25"/>
        </w:rPr>
      </w:pPr>
    </w:p>
    <w:p w14:paraId="6F804088" w14:textId="77777777" w:rsidR="00A92E6F" w:rsidRDefault="00B07FFE">
      <w:pPr>
        <w:pStyle w:val="Textoindependiente"/>
        <w:spacing w:line="276" w:lineRule="auto"/>
        <w:ind w:left="217" w:right="606"/>
        <w:jc w:val="both"/>
      </w:pPr>
      <w:r>
        <w:t>Muy frecuentes (≥ 1/10), frecuentes  (≥ 1/100  a  &lt; 1/10),  poco  frecuentes  (≥  1/1000  a  &lt; 1/100),  raras (≥ 1/10.000 a &lt; 1/1000), muy raras (&lt; 1/10.000), y frecuencia no conocida (no puede estimarse a partir de los datos</w:t>
      </w:r>
      <w:r>
        <w:rPr>
          <w:spacing w:val="-1"/>
        </w:rPr>
        <w:t xml:space="preserve"> </w:t>
      </w:r>
      <w:r>
        <w:t>disponibles).</w:t>
      </w:r>
    </w:p>
    <w:p w14:paraId="6F804089" w14:textId="77777777" w:rsidR="00A92E6F" w:rsidRDefault="00A92E6F">
      <w:pPr>
        <w:pStyle w:val="Textoindependiente"/>
        <w:rPr>
          <w:sz w:val="20"/>
        </w:rPr>
      </w:pPr>
    </w:p>
    <w:p w14:paraId="6F80408A" w14:textId="77777777" w:rsidR="00A92E6F" w:rsidRDefault="00A92E6F">
      <w:pPr>
        <w:pStyle w:val="Textoindependiente"/>
        <w:rPr>
          <w:sz w:val="20"/>
        </w:rPr>
      </w:pPr>
    </w:p>
    <w:p w14:paraId="6F80408B" w14:textId="77777777" w:rsidR="00A92E6F" w:rsidRDefault="00A92E6F">
      <w:pPr>
        <w:pStyle w:val="Textoindependiente"/>
        <w:spacing w:before="4"/>
        <w:rPr>
          <w:sz w:val="11"/>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1357"/>
        <w:gridCol w:w="1323"/>
        <w:gridCol w:w="1681"/>
        <w:gridCol w:w="1804"/>
        <w:gridCol w:w="1705"/>
      </w:tblGrid>
      <w:tr w:rsidR="00A92E6F" w14:paraId="6F80408E" w14:textId="77777777">
        <w:trPr>
          <w:trHeight w:val="290"/>
        </w:trPr>
        <w:tc>
          <w:tcPr>
            <w:tcW w:w="1841" w:type="dxa"/>
            <w:tcBorders>
              <w:bottom w:val="nil"/>
            </w:tcBorders>
          </w:tcPr>
          <w:p w14:paraId="6F80408C" w14:textId="77777777" w:rsidR="00A92E6F" w:rsidRDefault="00B07FFE">
            <w:pPr>
              <w:pStyle w:val="TableParagraph"/>
              <w:spacing w:line="251" w:lineRule="exact"/>
              <w:ind w:left="69"/>
              <w:rPr>
                <w:b/>
              </w:rPr>
            </w:pPr>
            <w:r>
              <w:rPr>
                <w:b/>
              </w:rPr>
              <w:t>Clase de Órgano</w:t>
            </w:r>
          </w:p>
        </w:tc>
        <w:tc>
          <w:tcPr>
            <w:tcW w:w="7870" w:type="dxa"/>
            <w:gridSpan w:val="5"/>
          </w:tcPr>
          <w:p w14:paraId="6F80408D" w14:textId="77777777" w:rsidR="00A92E6F" w:rsidRDefault="00B07FFE">
            <w:pPr>
              <w:pStyle w:val="TableParagraph"/>
              <w:spacing w:line="251" w:lineRule="exact"/>
              <w:ind w:left="66"/>
              <w:rPr>
                <w:b/>
              </w:rPr>
            </w:pPr>
            <w:r>
              <w:rPr>
                <w:b/>
              </w:rPr>
              <w:t>Reacciones Adversas al Medicamento</w:t>
            </w:r>
          </w:p>
        </w:tc>
      </w:tr>
      <w:tr w:rsidR="00A92E6F" w14:paraId="6F804091" w14:textId="77777777">
        <w:trPr>
          <w:trHeight w:val="290"/>
        </w:trPr>
        <w:tc>
          <w:tcPr>
            <w:tcW w:w="1841" w:type="dxa"/>
            <w:tcBorders>
              <w:top w:val="nil"/>
              <w:bottom w:val="nil"/>
            </w:tcBorders>
          </w:tcPr>
          <w:p w14:paraId="6F80408F" w14:textId="77777777" w:rsidR="00A92E6F" w:rsidRDefault="00B07FFE">
            <w:pPr>
              <w:pStyle w:val="TableParagraph"/>
              <w:spacing w:line="242" w:lineRule="exact"/>
              <w:ind w:left="69"/>
              <w:rPr>
                <w:b/>
              </w:rPr>
            </w:pPr>
            <w:r>
              <w:rPr>
                <w:b/>
              </w:rPr>
              <w:t>ó Sistema</w:t>
            </w:r>
          </w:p>
        </w:tc>
        <w:tc>
          <w:tcPr>
            <w:tcW w:w="7870" w:type="dxa"/>
            <w:gridSpan w:val="5"/>
          </w:tcPr>
          <w:p w14:paraId="6F804090" w14:textId="77777777" w:rsidR="00A92E6F" w:rsidRDefault="00B07FFE">
            <w:pPr>
              <w:pStyle w:val="TableParagraph"/>
              <w:spacing w:line="251" w:lineRule="exact"/>
              <w:ind w:left="66"/>
              <w:rPr>
                <w:b/>
              </w:rPr>
            </w:pPr>
            <w:r>
              <w:rPr>
                <w:b/>
              </w:rPr>
              <w:t>Categoria de Frecuencia</w:t>
            </w:r>
          </w:p>
        </w:tc>
      </w:tr>
      <w:tr w:rsidR="00A92E6F" w14:paraId="6F804098" w14:textId="77777777">
        <w:trPr>
          <w:trHeight w:val="274"/>
        </w:trPr>
        <w:tc>
          <w:tcPr>
            <w:tcW w:w="1841" w:type="dxa"/>
            <w:tcBorders>
              <w:top w:val="nil"/>
              <w:bottom w:val="nil"/>
            </w:tcBorders>
          </w:tcPr>
          <w:p w14:paraId="6F804092" w14:textId="77777777" w:rsidR="00A92E6F" w:rsidRDefault="00A92E6F">
            <w:pPr>
              <w:pStyle w:val="TableParagraph"/>
              <w:rPr>
                <w:sz w:val="20"/>
              </w:rPr>
            </w:pPr>
          </w:p>
        </w:tc>
        <w:tc>
          <w:tcPr>
            <w:tcW w:w="1357" w:type="dxa"/>
            <w:tcBorders>
              <w:bottom w:val="nil"/>
            </w:tcBorders>
          </w:tcPr>
          <w:p w14:paraId="6F804093" w14:textId="77777777" w:rsidR="00A92E6F" w:rsidRDefault="00B07FFE">
            <w:pPr>
              <w:pStyle w:val="TableParagraph"/>
              <w:spacing w:before="1"/>
              <w:ind w:left="214" w:right="212"/>
              <w:jc w:val="center"/>
              <w:rPr>
                <w:b/>
              </w:rPr>
            </w:pPr>
            <w:r>
              <w:rPr>
                <w:b/>
              </w:rPr>
              <w:t>Muy</w:t>
            </w:r>
          </w:p>
        </w:tc>
        <w:tc>
          <w:tcPr>
            <w:tcW w:w="1323" w:type="dxa"/>
            <w:tcBorders>
              <w:bottom w:val="nil"/>
            </w:tcBorders>
          </w:tcPr>
          <w:p w14:paraId="6F804094" w14:textId="77777777" w:rsidR="00A92E6F" w:rsidRDefault="00B07FFE">
            <w:pPr>
              <w:pStyle w:val="TableParagraph"/>
              <w:spacing w:before="1"/>
              <w:ind w:left="188"/>
              <w:rPr>
                <w:b/>
              </w:rPr>
            </w:pPr>
            <w:r>
              <w:rPr>
                <w:b/>
              </w:rPr>
              <w:t>Frecuente</w:t>
            </w:r>
          </w:p>
        </w:tc>
        <w:tc>
          <w:tcPr>
            <w:tcW w:w="1681" w:type="dxa"/>
            <w:tcBorders>
              <w:bottom w:val="nil"/>
            </w:tcBorders>
          </w:tcPr>
          <w:p w14:paraId="6F804095" w14:textId="77777777" w:rsidR="00A92E6F" w:rsidRDefault="00B07FFE">
            <w:pPr>
              <w:pStyle w:val="TableParagraph"/>
              <w:spacing w:before="1"/>
              <w:ind w:left="144"/>
              <w:rPr>
                <w:b/>
              </w:rPr>
            </w:pPr>
            <w:r>
              <w:rPr>
                <w:b/>
              </w:rPr>
              <w:t>Poco frecuente</w:t>
            </w:r>
          </w:p>
        </w:tc>
        <w:tc>
          <w:tcPr>
            <w:tcW w:w="1804" w:type="dxa"/>
            <w:tcBorders>
              <w:bottom w:val="nil"/>
            </w:tcBorders>
          </w:tcPr>
          <w:p w14:paraId="6F804096" w14:textId="77777777" w:rsidR="00A92E6F" w:rsidRDefault="00B07FFE">
            <w:pPr>
              <w:pStyle w:val="TableParagraph"/>
              <w:spacing w:before="1"/>
              <w:ind w:left="638" w:right="639"/>
              <w:jc w:val="center"/>
              <w:rPr>
                <w:b/>
              </w:rPr>
            </w:pPr>
            <w:r>
              <w:rPr>
                <w:b/>
              </w:rPr>
              <w:t>Rara</w:t>
            </w:r>
          </w:p>
        </w:tc>
        <w:tc>
          <w:tcPr>
            <w:tcW w:w="1705" w:type="dxa"/>
            <w:tcBorders>
              <w:bottom w:val="nil"/>
            </w:tcBorders>
          </w:tcPr>
          <w:p w14:paraId="6F804097" w14:textId="77777777" w:rsidR="00A92E6F" w:rsidRDefault="00B07FFE">
            <w:pPr>
              <w:pStyle w:val="TableParagraph"/>
              <w:spacing w:before="1"/>
              <w:ind w:left="270"/>
              <w:rPr>
                <w:b/>
              </w:rPr>
            </w:pPr>
            <w:r>
              <w:rPr>
                <w:b/>
              </w:rPr>
              <w:t>No conocida</w:t>
            </w:r>
          </w:p>
        </w:tc>
      </w:tr>
      <w:tr w:rsidR="00A92E6F" w14:paraId="6F80409F" w14:textId="77777777">
        <w:trPr>
          <w:trHeight w:val="290"/>
        </w:trPr>
        <w:tc>
          <w:tcPr>
            <w:tcW w:w="1841" w:type="dxa"/>
            <w:tcBorders>
              <w:top w:val="nil"/>
              <w:bottom w:val="nil"/>
            </w:tcBorders>
          </w:tcPr>
          <w:p w14:paraId="6F804099" w14:textId="77777777" w:rsidR="00A92E6F" w:rsidRDefault="00A92E6F">
            <w:pPr>
              <w:pStyle w:val="TableParagraph"/>
              <w:rPr>
                <w:sz w:val="20"/>
              </w:rPr>
            </w:pPr>
          </w:p>
        </w:tc>
        <w:tc>
          <w:tcPr>
            <w:tcW w:w="1357" w:type="dxa"/>
            <w:tcBorders>
              <w:top w:val="nil"/>
              <w:bottom w:val="nil"/>
            </w:tcBorders>
          </w:tcPr>
          <w:p w14:paraId="6F80409A" w14:textId="77777777" w:rsidR="00A92E6F" w:rsidRDefault="00B07FFE">
            <w:pPr>
              <w:pStyle w:val="TableParagraph"/>
              <w:spacing w:before="17"/>
              <w:ind w:left="214" w:right="212"/>
              <w:jc w:val="center"/>
              <w:rPr>
                <w:b/>
              </w:rPr>
            </w:pPr>
            <w:r>
              <w:rPr>
                <w:b/>
              </w:rPr>
              <w:t>frecuente</w:t>
            </w:r>
          </w:p>
        </w:tc>
        <w:tc>
          <w:tcPr>
            <w:tcW w:w="1323" w:type="dxa"/>
            <w:tcBorders>
              <w:top w:val="nil"/>
              <w:bottom w:val="nil"/>
            </w:tcBorders>
          </w:tcPr>
          <w:p w14:paraId="6F80409B" w14:textId="77777777" w:rsidR="00A92E6F" w:rsidRDefault="00B07FFE">
            <w:pPr>
              <w:pStyle w:val="TableParagraph"/>
              <w:spacing w:before="12"/>
              <w:ind w:left="205"/>
            </w:pPr>
            <w:r>
              <w:t>(≥ 1/100 a</w:t>
            </w:r>
          </w:p>
        </w:tc>
        <w:tc>
          <w:tcPr>
            <w:tcW w:w="1681" w:type="dxa"/>
            <w:tcBorders>
              <w:top w:val="nil"/>
              <w:bottom w:val="nil"/>
            </w:tcBorders>
          </w:tcPr>
          <w:p w14:paraId="6F80409C" w14:textId="77777777" w:rsidR="00A92E6F" w:rsidRDefault="00B07FFE">
            <w:pPr>
              <w:pStyle w:val="TableParagraph"/>
              <w:spacing w:before="12"/>
              <w:ind w:left="303"/>
            </w:pPr>
            <w:r>
              <w:t>(≥ 1/1000 a</w:t>
            </w:r>
          </w:p>
        </w:tc>
        <w:tc>
          <w:tcPr>
            <w:tcW w:w="1804" w:type="dxa"/>
            <w:tcBorders>
              <w:top w:val="nil"/>
              <w:bottom w:val="nil"/>
            </w:tcBorders>
          </w:tcPr>
          <w:p w14:paraId="6F80409D" w14:textId="77777777" w:rsidR="00A92E6F" w:rsidRDefault="00B07FFE">
            <w:pPr>
              <w:pStyle w:val="TableParagraph"/>
              <w:spacing w:before="12"/>
              <w:ind w:left="307"/>
            </w:pPr>
            <w:r>
              <w:t>(≥ 1/10.000 a</w:t>
            </w:r>
          </w:p>
        </w:tc>
        <w:tc>
          <w:tcPr>
            <w:tcW w:w="1705" w:type="dxa"/>
            <w:tcBorders>
              <w:top w:val="nil"/>
              <w:bottom w:val="nil"/>
            </w:tcBorders>
          </w:tcPr>
          <w:p w14:paraId="6F80409E" w14:textId="77777777" w:rsidR="00A92E6F" w:rsidRDefault="00A92E6F">
            <w:pPr>
              <w:pStyle w:val="TableParagraph"/>
              <w:rPr>
                <w:sz w:val="20"/>
              </w:rPr>
            </w:pPr>
          </w:p>
        </w:tc>
      </w:tr>
      <w:tr w:rsidR="00A92E6F" w14:paraId="6F8040A6" w14:textId="77777777">
        <w:trPr>
          <w:trHeight w:val="308"/>
        </w:trPr>
        <w:tc>
          <w:tcPr>
            <w:tcW w:w="1841" w:type="dxa"/>
            <w:tcBorders>
              <w:top w:val="nil"/>
            </w:tcBorders>
          </w:tcPr>
          <w:p w14:paraId="6F8040A0" w14:textId="77777777" w:rsidR="00A92E6F" w:rsidRDefault="00A92E6F">
            <w:pPr>
              <w:pStyle w:val="TableParagraph"/>
            </w:pPr>
          </w:p>
        </w:tc>
        <w:tc>
          <w:tcPr>
            <w:tcW w:w="1357" w:type="dxa"/>
            <w:tcBorders>
              <w:top w:val="nil"/>
            </w:tcBorders>
          </w:tcPr>
          <w:p w14:paraId="6F8040A1" w14:textId="77777777" w:rsidR="00A92E6F" w:rsidRDefault="00B07FFE">
            <w:pPr>
              <w:pStyle w:val="TableParagraph"/>
              <w:spacing w:before="12"/>
              <w:ind w:left="214" w:right="209"/>
              <w:jc w:val="center"/>
            </w:pPr>
            <w:r>
              <w:t>(≥ 1/10)</w:t>
            </w:r>
          </w:p>
        </w:tc>
        <w:tc>
          <w:tcPr>
            <w:tcW w:w="1323" w:type="dxa"/>
            <w:tcBorders>
              <w:top w:val="nil"/>
            </w:tcBorders>
          </w:tcPr>
          <w:p w14:paraId="6F8040A2" w14:textId="77777777" w:rsidR="00A92E6F" w:rsidRDefault="00B07FFE">
            <w:pPr>
              <w:pStyle w:val="TableParagraph"/>
              <w:spacing w:before="12"/>
              <w:ind w:left="337"/>
            </w:pPr>
            <w:r>
              <w:t>&lt; 1/10)</w:t>
            </w:r>
          </w:p>
        </w:tc>
        <w:tc>
          <w:tcPr>
            <w:tcW w:w="1681" w:type="dxa"/>
            <w:tcBorders>
              <w:top w:val="nil"/>
            </w:tcBorders>
          </w:tcPr>
          <w:p w14:paraId="6F8040A3" w14:textId="77777777" w:rsidR="00A92E6F" w:rsidRDefault="00B07FFE">
            <w:pPr>
              <w:pStyle w:val="TableParagraph"/>
              <w:spacing w:before="12"/>
              <w:ind w:left="462"/>
            </w:pPr>
            <w:r>
              <w:t>&lt; 1/100)</w:t>
            </w:r>
          </w:p>
        </w:tc>
        <w:tc>
          <w:tcPr>
            <w:tcW w:w="1804" w:type="dxa"/>
            <w:tcBorders>
              <w:top w:val="nil"/>
            </w:tcBorders>
          </w:tcPr>
          <w:p w14:paraId="6F8040A4" w14:textId="77777777" w:rsidR="00A92E6F" w:rsidRDefault="00B07FFE">
            <w:pPr>
              <w:pStyle w:val="TableParagraph"/>
              <w:spacing w:before="12"/>
              <w:ind w:left="465"/>
            </w:pPr>
            <w:r>
              <w:t>&lt; 1/1000)</w:t>
            </w:r>
          </w:p>
        </w:tc>
        <w:tc>
          <w:tcPr>
            <w:tcW w:w="1705" w:type="dxa"/>
            <w:tcBorders>
              <w:top w:val="nil"/>
            </w:tcBorders>
          </w:tcPr>
          <w:p w14:paraId="6F8040A5" w14:textId="77777777" w:rsidR="00A92E6F" w:rsidRDefault="00A92E6F">
            <w:pPr>
              <w:pStyle w:val="TableParagraph"/>
            </w:pPr>
          </w:p>
        </w:tc>
      </w:tr>
      <w:tr w:rsidR="00A92E6F" w14:paraId="6F8040AD" w14:textId="77777777">
        <w:trPr>
          <w:trHeight w:val="873"/>
        </w:trPr>
        <w:tc>
          <w:tcPr>
            <w:tcW w:w="1841" w:type="dxa"/>
          </w:tcPr>
          <w:p w14:paraId="6F8040A7" w14:textId="77777777" w:rsidR="00A92E6F" w:rsidRDefault="00B07FFE">
            <w:pPr>
              <w:pStyle w:val="TableParagraph"/>
              <w:tabs>
                <w:tab w:val="left" w:pos="1671"/>
              </w:tabs>
              <w:spacing w:line="278" w:lineRule="auto"/>
              <w:ind w:left="69" w:right="59"/>
              <w:rPr>
                <w:b/>
              </w:rPr>
            </w:pPr>
            <w:r>
              <w:rPr>
                <w:b/>
              </w:rPr>
              <w:t>Infecciones</w:t>
            </w:r>
            <w:r>
              <w:rPr>
                <w:b/>
              </w:rPr>
              <w:tab/>
            </w:r>
            <w:r>
              <w:rPr>
                <w:b/>
                <w:spacing w:val="-17"/>
              </w:rPr>
              <w:t xml:space="preserve">e </w:t>
            </w:r>
            <w:r>
              <w:rPr>
                <w:b/>
              </w:rPr>
              <w:t>infestaciones</w:t>
            </w:r>
          </w:p>
        </w:tc>
        <w:tc>
          <w:tcPr>
            <w:tcW w:w="1357" w:type="dxa"/>
          </w:tcPr>
          <w:p w14:paraId="6F8040A8" w14:textId="77777777" w:rsidR="00A92E6F" w:rsidRDefault="00A92E6F">
            <w:pPr>
              <w:pStyle w:val="TableParagraph"/>
            </w:pPr>
          </w:p>
        </w:tc>
        <w:tc>
          <w:tcPr>
            <w:tcW w:w="1323" w:type="dxa"/>
          </w:tcPr>
          <w:p w14:paraId="6F8040A9" w14:textId="77777777" w:rsidR="00A92E6F" w:rsidRDefault="00B07FFE">
            <w:pPr>
              <w:pStyle w:val="TableParagraph"/>
              <w:spacing w:line="278" w:lineRule="auto"/>
              <w:ind w:left="68" w:right="296"/>
            </w:pPr>
            <w:r>
              <w:t>Moliniasis genital</w:t>
            </w:r>
          </w:p>
        </w:tc>
        <w:tc>
          <w:tcPr>
            <w:tcW w:w="1681" w:type="dxa"/>
          </w:tcPr>
          <w:p w14:paraId="6F8040AA" w14:textId="77777777" w:rsidR="00A92E6F" w:rsidRDefault="00B07FFE">
            <w:pPr>
              <w:pStyle w:val="TableParagraph"/>
              <w:spacing w:line="278" w:lineRule="auto"/>
              <w:ind w:left="68" w:right="556"/>
            </w:pPr>
            <w:r>
              <w:t>Candidiasis genital</w:t>
            </w:r>
          </w:p>
        </w:tc>
        <w:tc>
          <w:tcPr>
            <w:tcW w:w="1804" w:type="dxa"/>
          </w:tcPr>
          <w:p w14:paraId="6F8040AB" w14:textId="77777777" w:rsidR="00A92E6F" w:rsidRDefault="00A92E6F">
            <w:pPr>
              <w:pStyle w:val="TableParagraph"/>
            </w:pPr>
          </w:p>
        </w:tc>
        <w:tc>
          <w:tcPr>
            <w:tcW w:w="1705" w:type="dxa"/>
          </w:tcPr>
          <w:p w14:paraId="6F8040AC" w14:textId="77777777" w:rsidR="00A92E6F" w:rsidRDefault="00A92E6F">
            <w:pPr>
              <w:pStyle w:val="TableParagraph"/>
            </w:pPr>
          </w:p>
        </w:tc>
      </w:tr>
      <w:tr w:rsidR="00A92E6F" w14:paraId="6F8040B4" w14:textId="77777777">
        <w:trPr>
          <w:trHeight w:val="267"/>
        </w:trPr>
        <w:tc>
          <w:tcPr>
            <w:tcW w:w="1841" w:type="dxa"/>
            <w:tcBorders>
              <w:bottom w:val="nil"/>
            </w:tcBorders>
          </w:tcPr>
          <w:p w14:paraId="6F8040AE" w14:textId="77777777" w:rsidR="00A92E6F" w:rsidRDefault="00B07FFE">
            <w:pPr>
              <w:pStyle w:val="TableParagraph"/>
              <w:spacing w:line="247" w:lineRule="exact"/>
              <w:ind w:left="69"/>
              <w:rPr>
                <w:b/>
              </w:rPr>
            </w:pPr>
            <w:r>
              <w:rPr>
                <w:b/>
              </w:rPr>
              <w:t>Neoplasias</w:t>
            </w:r>
          </w:p>
        </w:tc>
        <w:tc>
          <w:tcPr>
            <w:tcW w:w="1357" w:type="dxa"/>
            <w:vMerge w:val="restart"/>
          </w:tcPr>
          <w:p w14:paraId="6F8040AF" w14:textId="77777777" w:rsidR="00A92E6F" w:rsidRDefault="00A92E6F">
            <w:pPr>
              <w:pStyle w:val="TableParagraph"/>
            </w:pPr>
          </w:p>
        </w:tc>
        <w:tc>
          <w:tcPr>
            <w:tcW w:w="1323" w:type="dxa"/>
            <w:vMerge w:val="restart"/>
          </w:tcPr>
          <w:p w14:paraId="6F8040B0" w14:textId="77777777" w:rsidR="00A92E6F" w:rsidRDefault="00A92E6F">
            <w:pPr>
              <w:pStyle w:val="TableParagraph"/>
            </w:pPr>
          </w:p>
        </w:tc>
        <w:tc>
          <w:tcPr>
            <w:tcW w:w="1681" w:type="dxa"/>
            <w:vMerge w:val="restart"/>
          </w:tcPr>
          <w:p w14:paraId="6F8040B1" w14:textId="77777777" w:rsidR="00A92E6F" w:rsidRDefault="00A92E6F">
            <w:pPr>
              <w:pStyle w:val="TableParagraph"/>
            </w:pPr>
          </w:p>
        </w:tc>
        <w:tc>
          <w:tcPr>
            <w:tcW w:w="1804" w:type="dxa"/>
            <w:tcBorders>
              <w:bottom w:val="nil"/>
            </w:tcBorders>
          </w:tcPr>
          <w:p w14:paraId="6F8040B2" w14:textId="77777777" w:rsidR="00A92E6F" w:rsidRDefault="00B07FFE">
            <w:pPr>
              <w:pStyle w:val="TableParagraph"/>
              <w:spacing w:line="247" w:lineRule="exact"/>
              <w:ind w:left="67"/>
            </w:pPr>
            <w:r>
              <w:t>Cáncer de mama</w:t>
            </w:r>
          </w:p>
        </w:tc>
        <w:tc>
          <w:tcPr>
            <w:tcW w:w="1705" w:type="dxa"/>
            <w:tcBorders>
              <w:bottom w:val="nil"/>
            </w:tcBorders>
          </w:tcPr>
          <w:p w14:paraId="6F8040B3" w14:textId="77777777" w:rsidR="00A92E6F" w:rsidRDefault="00B07FFE">
            <w:pPr>
              <w:pStyle w:val="TableParagraph"/>
              <w:spacing w:line="247" w:lineRule="exact"/>
              <w:ind w:left="66"/>
            </w:pPr>
            <w:r>
              <w:t>Cáncer</w:t>
            </w:r>
          </w:p>
        </w:tc>
      </w:tr>
      <w:tr w:rsidR="00A92E6F" w14:paraId="6F8040BB" w14:textId="77777777">
        <w:trPr>
          <w:trHeight w:val="283"/>
        </w:trPr>
        <w:tc>
          <w:tcPr>
            <w:tcW w:w="1841" w:type="dxa"/>
            <w:tcBorders>
              <w:top w:val="nil"/>
              <w:bottom w:val="nil"/>
            </w:tcBorders>
          </w:tcPr>
          <w:p w14:paraId="6F8040B5" w14:textId="77777777" w:rsidR="00A92E6F" w:rsidRDefault="00B07FFE">
            <w:pPr>
              <w:pStyle w:val="TableParagraph"/>
              <w:spacing w:before="11" w:line="252" w:lineRule="exact"/>
              <w:ind w:left="69"/>
              <w:rPr>
                <w:b/>
              </w:rPr>
            </w:pPr>
            <w:r>
              <w:rPr>
                <w:b/>
              </w:rPr>
              <w:t>benignas,</w:t>
            </w:r>
          </w:p>
        </w:tc>
        <w:tc>
          <w:tcPr>
            <w:tcW w:w="1357" w:type="dxa"/>
            <w:vMerge/>
            <w:tcBorders>
              <w:top w:val="nil"/>
            </w:tcBorders>
          </w:tcPr>
          <w:p w14:paraId="6F8040B6" w14:textId="77777777" w:rsidR="00A92E6F" w:rsidRDefault="00A92E6F">
            <w:pPr>
              <w:rPr>
                <w:sz w:val="2"/>
                <w:szCs w:val="2"/>
              </w:rPr>
            </w:pPr>
          </w:p>
        </w:tc>
        <w:tc>
          <w:tcPr>
            <w:tcW w:w="1323" w:type="dxa"/>
            <w:vMerge/>
            <w:tcBorders>
              <w:top w:val="nil"/>
            </w:tcBorders>
          </w:tcPr>
          <w:p w14:paraId="6F8040B7" w14:textId="77777777" w:rsidR="00A92E6F" w:rsidRDefault="00A92E6F">
            <w:pPr>
              <w:rPr>
                <w:sz w:val="2"/>
                <w:szCs w:val="2"/>
              </w:rPr>
            </w:pPr>
          </w:p>
        </w:tc>
        <w:tc>
          <w:tcPr>
            <w:tcW w:w="1681" w:type="dxa"/>
            <w:vMerge/>
            <w:tcBorders>
              <w:top w:val="nil"/>
            </w:tcBorders>
          </w:tcPr>
          <w:p w14:paraId="6F8040B8" w14:textId="77777777" w:rsidR="00A92E6F" w:rsidRDefault="00A92E6F">
            <w:pPr>
              <w:rPr>
                <w:sz w:val="2"/>
                <w:szCs w:val="2"/>
              </w:rPr>
            </w:pPr>
          </w:p>
        </w:tc>
        <w:tc>
          <w:tcPr>
            <w:tcW w:w="1804" w:type="dxa"/>
            <w:tcBorders>
              <w:top w:val="nil"/>
              <w:bottom w:val="nil"/>
            </w:tcBorders>
          </w:tcPr>
          <w:p w14:paraId="6F8040B9" w14:textId="77777777" w:rsidR="00A92E6F" w:rsidRDefault="00A92E6F">
            <w:pPr>
              <w:pStyle w:val="TableParagraph"/>
              <w:rPr>
                <w:sz w:val="20"/>
              </w:rPr>
            </w:pPr>
          </w:p>
        </w:tc>
        <w:tc>
          <w:tcPr>
            <w:tcW w:w="1705" w:type="dxa"/>
            <w:tcBorders>
              <w:top w:val="nil"/>
              <w:bottom w:val="nil"/>
            </w:tcBorders>
          </w:tcPr>
          <w:p w14:paraId="6F8040BA" w14:textId="77777777" w:rsidR="00A92E6F" w:rsidRDefault="00B07FFE">
            <w:pPr>
              <w:pStyle w:val="TableParagraph"/>
              <w:spacing w:before="7"/>
              <w:ind w:left="66"/>
            </w:pPr>
            <w:r>
              <w:t>endometrial</w:t>
            </w:r>
          </w:p>
        </w:tc>
      </w:tr>
      <w:tr w:rsidR="00A92E6F" w14:paraId="6F8040C2" w14:textId="77777777">
        <w:trPr>
          <w:trHeight w:val="281"/>
        </w:trPr>
        <w:tc>
          <w:tcPr>
            <w:tcW w:w="1841" w:type="dxa"/>
            <w:tcBorders>
              <w:top w:val="nil"/>
              <w:bottom w:val="nil"/>
            </w:tcBorders>
          </w:tcPr>
          <w:p w14:paraId="6F8040BC" w14:textId="77777777" w:rsidR="00A92E6F" w:rsidRDefault="00B07FFE">
            <w:pPr>
              <w:pStyle w:val="TableParagraph"/>
              <w:tabs>
                <w:tab w:val="left" w:pos="1170"/>
                <w:tab w:val="left" w:pos="1537"/>
              </w:tabs>
              <w:spacing w:before="10" w:line="251" w:lineRule="exact"/>
              <w:ind w:left="69"/>
              <w:rPr>
                <w:b/>
              </w:rPr>
            </w:pPr>
            <w:r>
              <w:rPr>
                <w:b/>
              </w:rPr>
              <w:t>malignas</w:t>
            </w:r>
            <w:r>
              <w:rPr>
                <w:b/>
              </w:rPr>
              <w:tab/>
              <w:t>y</w:t>
            </w:r>
            <w:r>
              <w:rPr>
                <w:b/>
              </w:rPr>
              <w:tab/>
              <w:t>no</w:t>
            </w:r>
          </w:p>
        </w:tc>
        <w:tc>
          <w:tcPr>
            <w:tcW w:w="1357" w:type="dxa"/>
            <w:vMerge/>
            <w:tcBorders>
              <w:top w:val="nil"/>
            </w:tcBorders>
          </w:tcPr>
          <w:p w14:paraId="6F8040BD" w14:textId="77777777" w:rsidR="00A92E6F" w:rsidRDefault="00A92E6F">
            <w:pPr>
              <w:rPr>
                <w:sz w:val="2"/>
                <w:szCs w:val="2"/>
              </w:rPr>
            </w:pPr>
          </w:p>
        </w:tc>
        <w:tc>
          <w:tcPr>
            <w:tcW w:w="1323" w:type="dxa"/>
            <w:vMerge/>
            <w:tcBorders>
              <w:top w:val="nil"/>
            </w:tcBorders>
          </w:tcPr>
          <w:p w14:paraId="6F8040BE" w14:textId="77777777" w:rsidR="00A92E6F" w:rsidRDefault="00A92E6F">
            <w:pPr>
              <w:rPr>
                <w:sz w:val="2"/>
                <w:szCs w:val="2"/>
              </w:rPr>
            </w:pPr>
          </w:p>
        </w:tc>
        <w:tc>
          <w:tcPr>
            <w:tcW w:w="1681" w:type="dxa"/>
            <w:vMerge/>
            <w:tcBorders>
              <w:top w:val="nil"/>
            </w:tcBorders>
          </w:tcPr>
          <w:p w14:paraId="6F8040BF" w14:textId="77777777" w:rsidR="00A92E6F" w:rsidRDefault="00A92E6F">
            <w:pPr>
              <w:rPr>
                <w:sz w:val="2"/>
                <w:szCs w:val="2"/>
              </w:rPr>
            </w:pPr>
          </w:p>
        </w:tc>
        <w:tc>
          <w:tcPr>
            <w:tcW w:w="1804" w:type="dxa"/>
            <w:tcBorders>
              <w:top w:val="nil"/>
              <w:bottom w:val="nil"/>
            </w:tcBorders>
          </w:tcPr>
          <w:p w14:paraId="6F8040C0" w14:textId="77777777" w:rsidR="00A92E6F" w:rsidRDefault="00A92E6F">
            <w:pPr>
              <w:pStyle w:val="TableParagraph"/>
              <w:rPr>
                <w:sz w:val="20"/>
              </w:rPr>
            </w:pPr>
          </w:p>
        </w:tc>
        <w:tc>
          <w:tcPr>
            <w:tcW w:w="1705" w:type="dxa"/>
            <w:tcBorders>
              <w:top w:val="nil"/>
              <w:bottom w:val="nil"/>
            </w:tcBorders>
          </w:tcPr>
          <w:p w14:paraId="6F8040C1" w14:textId="77777777" w:rsidR="00A92E6F" w:rsidRDefault="00A92E6F">
            <w:pPr>
              <w:pStyle w:val="TableParagraph"/>
              <w:rPr>
                <w:sz w:val="20"/>
              </w:rPr>
            </w:pPr>
          </w:p>
        </w:tc>
      </w:tr>
      <w:tr w:rsidR="00A92E6F" w14:paraId="6F8040C9" w14:textId="77777777">
        <w:trPr>
          <w:trHeight w:val="280"/>
        </w:trPr>
        <w:tc>
          <w:tcPr>
            <w:tcW w:w="1841" w:type="dxa"/>
            <w:tcBorders>
              <w:top w:val="nil"/>
              <w:bottom w:val="nil"/>
            </w:tcBorders>
          </w:tcPr>
          <w:p w14:paraId="6F8040C3" w14:textId="77777777" w:rsidR="00A92E6F" w:rsidRDefault="00B07FFE">
            <w:pPr>
              <w:pStyle w:val="TableParagraph"/>
              <w:spacing w:before="9" w:line="251" w:lineRule="exact"/>
              <w:ind w:left="69"/>
              <w:rPr>
                <w:b/>
              </w:rPr>
            </w:pPr>
            <w:r>
              <w:rPr>
                <w:b/>
              </w:rPr>
              <w:t>especificadas (incl</w:t>
            </w:r>
          </w:p>
        </w:tc>
        <w:tc>
          <w:tcPr>
            <w:tcW w:w="1357" w:type="dxa"/>
            <w:vMerge/>
            <w:tcBorders>
              <w:top w:val="nil"/>
            </w:tcBorders>
          </w:tcPr>
          <w:p w14:paraId="6F8040C4" w14:textId="77777777" w:rsidR="00A92E6F" w:rsidRDefault="00A92E6F">
            <w:pPr>
              <w:rPr>
                <w:sz w:val="2"/>
                <w:szCs w:val="2"/>
              </w:rPr>
            </w:pPr>
          </w:p>
        </w:tc>
        <w:tc>
          <w:tcPr>
            <w:tcW w:w="1323" w:type="dxa"/>
            <w:vMerge/>
            <w:tcBorders>
              <w:top w:val="nil"/>
            </w:tcBorders>
          </w:tcPr>
          <w:p w14:paraId="6F8040C5" w14:textId="77777777" w:rsidR="00A92E6F" w:rsidRDefault="00A92E6F">
            <w:pPr>
              <w:rPr>
                <w:sz w:val="2"/>
                <w:szCs w:val="2"/>
              </w:rPr>
            </w:pPr>
          </w:p>
        </w:tc>
        <w:tc>
          <w:tcPr>
            <w:tcW w:w="1681" w:type="dxa"/>
            <w:vMerge/>
            <w:tcBorders>
              <w:top w:val="nil"/>
            </w:tcBorders>
          </w:tcPr>
          <w:p w14:paraId="6F8040C6" w14:textId="77777777" w:rsidR="00A92E6F" w:rsidRDefault="00A92E6F">
            <w:pPr>
              <w:rPr>
                <w:sz w:val="2"/>
                <w:szCs w:val="2"/>
              </w:rPr>
            </w:pPr>
          </w:p>
        </w:tc>
        <w:tc>
          <w:tcPr>
            <w:tcW w:w="1804" w:type="dxa"/>
            <w:tcBorders>
              <w:top w:val="nil"/>
              <w:bottom w:val="nil"/>
            </w:tcBorders>
          </w:tcPr>
          <w:p w14:paraId="6F8040C7" w14:textId="77777777" w:rsidR="00A92E6F" w:rsidRDefault="00A92E6F">
            <w:pPr>
              <w:pStyle w:val="TableParagraph"/>
              <w:rPr>
                <w:sz w:val="20"/>
              </w:rPr>
            </w:pPr>
          </w:p>
        </w:tc>
        <w:tc>
          <w:tcPr>
            <w:tcW w:w="1705" w:type="dxa"/>
            <w:tcBorders>
              <w:top w:val="nil"/>
              <w:bottom w:val="nil"/>
            </w:tcBorders>
          </w:tcPr>
          <w:p w14:paraId="6F8040C8" w14:textId="77777777" w:rsidR="00A92E6F" w:rsidRDefault="00A92E6F">
            <w:pPr>
              <w:pStyle w:val="TableParagraph"/>
              <w:rPr>
                <w:sz w:val="20"/>
              </w:rPr>
            </w:pPr>
          </w:p>
        </w:tc>
      </w:tr>
      <w:tr w:rsidR="00A92E6F" w14:paraId="6F8040D0" w14:textId="77777777">
        <w:trPr>
          <w:trHeight w:val="300"/>
        </w:trPr>
        <w:tc>
          <w:tcPr>
            <w:tcW w:w="1841" w:type="dxa"/>
            <w:tcBorders>
              <w:top w:val="nil"/>
            </w:tcBorders>
          </w:tcPr>
          <w:p w14:paraId="6F8040CA" w14:textId="77777777" w:rsidR="00A92E6F" w:rsidRDefault="00B07FFE">
            <w:pPr>
              <w:pStyle w:val="TableParagraph"/>
              <w:spacing w:before="9"/>
              <w:ind w:left="69"/>
              <w:rPr>
                <w:b/>
              </w:rPr>
            </w:pPr>
            <w:r>
              <w:rPr>
                <w:b/>
              </w:rPr>
              <w:t>quistes y pólipos)</w:t>
            </w:r>
          </w:p>
        </w:tc>
        <w:tc>
          <w:tcPr>
            <w:tcW w:w="1357" w:type="dxa"/>
            <w:vMerge/>
            <w:tcBorders>
              <w:top w:val="nil"/>
            </w:tcBorders>
          </w:tcPr>
          <w:p w14:paraId="6F8040CB" w14:textId="77777777" w:rsidR="00A92E6F" w:rsidRDefault="00A92E6F">
            <w:pPr>
              <w:rPr>
                <w:sz w:val="2"/>
                <w:szCs w:val="2"/>
              </w:rPr>
            </w:pPr>
          </w:p>
        </w:tc>
        <w:tc>
          <w:tcPr>
            <w:tcW w:w="1323" w:type="dxa"/>
            <w:vMerge/>
            <w:tcBorders>
              <w:top w:val="nil"/>
            </w:tcBorders>
          </w:tcPr>
          <w:p w14:paraId="6F8040CC" w14:textId="77777777" w:rsidR="00A92E6F" w:rsidRDefault="00A92E6F">
            <w:pPr>
              <w:rPr>
                <w:sz w:val="2"/>
                <w:szCs w:val="2"/>
              </w:rPr>
            </w:pPr>
          </w:p>
        </w:tc>
        <w:tc>
          <w:tcPr>
            <w:tcW w:w="1681" w:type="dxa"/>
            <w:vMerge/>
            <w:tcBorders>
              <w:top w:val="nil"/>
            </w:tcBorders>
          </w:tcPr>
          <w:p w14:paraId="6F8040CD" w14:textId="77777777" w:rsidR="00A92E6F" w:rsidRDefault="00A92E6F">
            <w:pPr>
              <w:rPr>
                <w:sz w:val="2"/>
                <w:szCs w:val="2"/>
              </w:rPr>
            </w:pPr>
          </w:p>
        </w:tc>
        <w:tc>
          <w:tcPr>
            <w:tcW w:w="1804" w:type="dxa"/>
            <w:tcBorders>
              <w:top w:val="nil"/>
            </w:tcBorders>
          </w:tcPr>
          <w:p w14:paraId="6F8040CE" w14:textId="77777777" w:rsidR="00A92E6F" w:rsidRDefault="00A92E6F">
            <w:pPr>
              <w:pStyle w:val="TableParagraph"/>
            </w:pPr>
          </w:p>
        </w:tc>
        <w:tc>
          <w:tcPr>
            <w:tcW w:w="1705" w:type="dxa"/>
            <w:tcBorders>
              <w:top w:val="nil"/>
            </w:tcBorders>
          </w:tcPr>
          <w:p w14:paraId="6F8040CF" w14:textId="77777777" w:rsidR="00A92E6F" w:rsidRDefault="00A92E6F">
            <w:pPr>
              <w:pStyle w:val="TableParagraph"/>
            </w:pPr>
          </w:p>
        </w:tc>
      </w:tr>
      <w:tr w:rsidR="00A92E6F" w14:paraId="6F8040D8" w14:textId="77777777">
        <w:trPr>
          <w:trHeight w:val="873"/>
        </w:trPr>
        <w:tc>
          <w:tcPr>
            <w:tcW w:w="1841" w:type="dxa"/>
          </w:tcPr>
          <w:p w14:paraId="6F8040D1" w14:textId="77777777" w:rsidR="00A92E6F" w:rsidRDefault="00B07FFE">
            <w:pPr>
              <w:pStyle w:val="TableParagraph"/>
              <w:tabs>
                <w:tab w:val="left" w:pos="1489"/>
              </w:tabs>
              <w:spacing w:line="251" w:lineRule="exact"/>
              <w:ind w:left="69"/>
              <w:rPr>
                <w:b/>
              </w:rPr>
            </w:pPr>
            <w:r>
              <w:rPr>
                <w:b/>
              </w:rPr>
              <w:t>Trastornos</w:t>
            </w:r>
            <w:r>
              <w:rPr>
                <w:b/>
              </w:rPr>
              <w:tab/>
              <w:t>del</w:t>
            </w:r>
          </w:p>
          <w:p w14:paraId="6F8040D2" w14:textId="77777777" w:rsidR="00A92E6F" w:rsidRDefault="00B07FFE">
            <w:pPr>
              <w:pStyle w:val="TableParagraph"/>
              <w:spacing w:before="2" w:line="290" w:lineRule="atLeast"/>
              <w:ind w:left="69" w:right="470"/>
              <w:rPr>
                <w:b/>
              </w:rPr>
            </w:pPr>
            <w:r>
              <w:rPr>
                <w:b/>
              </w:rPr>
              <w:t>sistema inmunológico</w:t>
            </w:r>
          </w:p>
        </w:tc>
        <w:tc>
          <w:tcPr>
            <w:tcW w:w="1357" w:type="dxa"/>
          </w:tcPr>
          <w:p w14:paraId="6F8040D3" w14:textId="77777777" w:rsidR="00A92E6F" w:rsidRDefault="00A92E6F">
            <w:pPr>
              <w:pStyle w:val="TableParagraph"/>
            </w:pPr>
          </w:p>
        </w:tc>
        <w:tc>
          <w:tcPr>
            <w:tcW w:w="1323" w:type="dxa"/>
          </w:tcPr>
          <w:p w14:paraId="6F8040D4" w14:textId="77777777" w:rsidR="00A92E6F" w:rsidRDefault="00A92E6F">
            <w:pPr>
              <w:pStyle w:val="TableParagraph"/>
            </w:pPr>
          </w:p>
        </w:tc>
        <w:tc>
          <w:tcPr>
            <w:tcW w:w="1681" w:type="dxa"/>
          </w:tcPr>
          <w:p w14:paraId="6F8040D5" w14:textId="77777777" w:rsidR="00A92E6F" w:rsidRDefault="00B07FFE">
            <w:pPr>
              <w:pStyle w:val="TableParagraph"/>
              <w:spacing w:line="278" w:lineRule="auto"/>
              <w:ind w:left="68" w:right="141"/>
            </w:pPr>
            <w:r>
              <w:t>Hipersensibilida d</w:t>
            </w:r>
          </w:p>
        </w:tc>
        <w:tc>
          <w:tcPr>
            <w:tcW w:w="1804" w:type="dxa"/>
          </w:tcPr>
          <w:p w14:paraId="6F8040D6" w14:textId="77777777" w:rsidR="00A92E6F" w:rsidRDefault="00A92E6F">
            <w:pPr>
              <w:pStyle w:val="TableParagraph"/>
            </w:pPr>
          </w:p>
        </w:tc>
        <w:tc>
          <w:tcPr>
            <w:tcW w:w="1705" w:type="dxa"/>
          </w:tcPr>
          <w:p w14:paraId="6F8040D7" w14:textId="77777777" w:rsidR="00A92E6F" w:rsidRDefault="00A92E6F">
            <w:pPr>
              <w:pStyle w:val="TableParagraph"/>
            </w:pPr>
          </w:p>
        </w:tc>
      </w:tr>
      <w:tr w:rsidR="00A92E6F" w14:paraId="6F8040DF" w14:textId="77777777">
        <w:trPr>
          <w:trHeight w:val="267"/>
        </w:trPr>
        <w:tc>
          <w:tcPr>
            <w:tcW w:w="1841" w:type="dxa"/>
            <w:tcBorders>
              <w:bottom w:val="nil"/>
            </w:tcBorders>
          </w:tcPr>
          <w:p w14:paraId="6F8040D9" w14:textId="77777777" w:rsidR="00A92E6F" w:rsidRDefault="00B07FFE">
            <w:pPr>
              <w:pStyle w:val="TableParagraph"/>
              <w:tabs>
                <w:tab w:val="left" w:pos="1489"/>
              </w:tabs>
              <w:spacing w:line="248" w:lineRule="exact"/>
              <w:ind w:left="69"/>
              <w:rPr>
                <w:b/>
              </w:rPr>
            </w:pPr>
            <w:r>
              <w:rPr>
                <w:b/>
              </w:rPr>
              <w:t>Trastornos</w:t>
            </w:r>
            <w:r>
              <w:rPr>
                <w:b/>
              </w:rPr>
              <w:tab/>
              <w:t>del</w:t>
            </w:r>
          </w:p>
        </w:tc>
        <w:tc>
          <w:tcPr>
            <w:tcW w:w="1357" w:type="dxa"/>
            <w:vMerge w:val="restart"/>
          </w:tcPr>
          <w:p w14:paraId="6F8040DA" w14:textId="77777777" w:rsidR="00A92E6F" w:rsidRDefault="00A92E6F">
            <w:pPr>
              <w:pStyle w:val="TableParagraph"/>
            </w:pPr>
          </w:p>
        </w:tc>
        <w:tc>
          <w:tcPr>
            <w:tcW w:w="1323" w:type="dxa"/>
            <w:tcBorders>
              <w:bottom w:val="nil"/>
            </w:tcBorders>
          </w:tcPr>
          <w:p w14:paraId="6F8040DB" w14:textId="77777777" w:rsidR="00A92E6F" w:rsidRDefault="00B07FFE">
            <w:pPr>
              <w:pStyle w:val="TableParagraph"/>
              <w:spacing w:line="247" w:lineRule="exact"/>
              <w:ind w:left="68"/>
            </w:pPr>
            <w:r>
              <w:t>Aumento de</w:t>
            </w:r>
          </w:p>
        </w:tc>
        <w:tc>
          <w:tcPr>
            <w:tcW w:w="1681" w:type="dxa"/>
            <w:vMerge w:val="restart"/>
          </w:tcPr>
          <w:p w14:paraId="6F8040DC" w14:textId="77777777" w:rsidR="00A92E6F" w:rsidRDefault="00A92E6F">
            <w:pPr>
              <w:pStyle w:val="TableParagraph"/>
            </w:pPr>
          </w:p>
        </w:tc>
        <w:tc>
          <w:tcPr>
            <w:tcW w:w="1804" w:type="dxa"/>
            <w:vMerge w:val="restart"/>
          </w:tcPr>
          <w:p w14:paraId="6F8040DD" w14:textId="77777777" w:rsidR="00A92E6F" w:rsidRDefault="00A92E6F">
            <w:pPr>
              <w:pStyle w:val="TableParagraph"/>
            </w:pPr>
          </w:p>
        </w:tc>
        <w:tc>
          <w:tcPr>
            <w:tcW w:w="1705" w:type="dxa"/>
            <w:vMerge w:val="restart"/>
          </w:tcPr>
          <w:p w14:paraId="6F8040DE" w14:textId="77777777" w:rsidR="00A92E6F" w:rsidRDefault="00A92E6F">
            <w:pPr>
              <w:pStyle w:val="TableParagraph"/>
            </w:pPr>
          </w:p>
        </w:tc>
      </w:tr>
      <w:tr w:rsidR="00A92E6F" w14:paraId="6F8040E6" w14:textId="77777777">
        <w:trPr>
          <w:trHeight w:val="281"/>
        </w:trPr>
        <w:tc>
          <w:tcPr>
            <w:tcW w:w="1841" w:type="dxa"/>
            <w:tcBorders>
              <w:top w:val="nil"/>
              <w:bottom w:val="nil"/>
            </w:tcBorders>
          </w:tcPr>
          <w:p w14:paraId="6F8040E0" w14:textId="77777777" w:rsidR="00A92E6F" w:rsidRDefault="00B07FFE">
            <w:pPr>
              <w:pStyle w:val="TableParagraph"/>
              <w:spacing w:before="11" w:line="250" w:lineRule="exact"/>
              <w:ind w:left="69"/>
              <w:rPr>
                <w:b/>
              </w:rPr>
            </w:pPr>
            <w:r>
              <w:rPr>
                <w:b/>
              </w:rPr>
              <w:t>metabolismo y de</w:t>
            </w:r>
          </w:p>
        </w:tc>
        <w:tc>
          <w:tcPr>
            <w:tcW w:w="1357" w:type="dxa"/>
            <w:vMerge/>
            <w:tcBorders>
              <w:top w:val="nil"/>
            </w:tcBorders>
          </w:tcPr>
          <w:p w14:paraId="6F8040E1" w14:textId="77777777" w:rsidR="00A92E6F" w:rsidRDefault="00A92E6F">
            <w:pPr>
              <w:rPr>
                <w:sz w:val="2"/>
                <w:szCs w:val="2"/>
              </w:rPr>
            </w:pPr>
          </w:p>
        </w:tc>
        <w:tc>
          <w:tcPr>
            <w:tcW w:w="1323" w:type="dxa"/>
            <w:tcBorders>
              <w:top w:val="nil"/>
              <w:bottom w:val="nil"/>
            </w:tcBorders>
          </w:tcPr>
          <w:p w14:paraId="6F8040E2" w14:textId="77777777" w:rsidR="00A92E6F" w:rsidRDefault="00B07FFE">
            <w:pPr>
              <w:pStyle w:val="TableParagraph"/>
              <w:tabs>
                <w:tab w:val="left" w:pos="1141"/>
              </w:tabs>
              <w:spacing w:before="7"/>
              <w:ind w:left="68"/>
            </w:pPr>
            <w:r>
              <w:t>peso</w:t>
            </w:r>
            <w:r>
              <w:tab/>
              <w:t>o</w:t>
            </w:r>
          </w:p>
        </w:tc>
        <w:tc>
          <w:tcPr>
            <w:tcW w:w="1681" w:type="dxa"/>
            <w:vMerge/>
            <w:tcBorders>
              <w:top w:val="nil"/>
            </w:tcBorders>
          </w:tcPr>
          <w:p w14:paraId="6F8040E3" w14:textId="77777777" w:rsidR="00A92E6F" w:rsidRDefault="00A92E6F">
            <w:pPr>
              <w:rPr>
                <w:sz w:val="2"/>
                <w:szCs w:val="2"/>
              </w:rPr>
            </w:pPr>
          </w:p>
        </w:tc>
        <w:tc>
          <w:tcPr>
            <w:tcW w:w="1804" w:type="dxa"/>
            <w:vMerge/>
            <w:tcBorders>
              <w:top w:val="nil"/>
            </w:tcBorders>
          </w:tcPr>
          <w:p w14:paraId="6F8040E4" w14:textId="77777777" w:rsidR="00A92E6F" w:rsidRDefault="00A92E6F">
            <w:pPr>
              <w:rPr>
                <w:sz w:val="2"/>
                <w:szCs w:val="2"/>
              </w:rPr>
            </w:pPr>
          </w:p>
        </w:tc>
        <w:tc>
          <w:tcPr>
            <w:tcW w:w="1705" w:type="dxa"/>
            <w:vMerge/>
            <w:tcBorders>
              <w:top w:val="nil"/>
            </w:tcBorders>
          </w:tcPr>
          <w:p w14:paraId="6F8040E5" w14:textId="77777777" w:rsidR="00A92E6F" w:rsidRDefault="00A92E6F">
            <w:pPr>
              <w:rPr>
                <w:sz w:val="2"/>
                <w:szCs w:val="2"/>
              </w:rPr>
            </w:pPr>
          </w:p>
        </w:tc>
      </w:tr>
      <w:tr w:rsidR="00A92E6F" w14:paraId="6F8040ED" w14:textId="77777777">
        <w:trPr>
          <w:trHeight w:val="281"/>
        </w:trPr>
        <w:tc>
          <w:tcPr>
            <w:tcW w:w="1841" w:type="dxa"/>
            <w:tcBorders>
              <w:top w:val="nil"/>
              <w:bottom w:val="nil"/>
            </w:tcBorders>
          </w:tcPr>
          <w:p w14:paraId="6F8040E7" w14:textId="77777777" w:rsidR="00A92E6F" w:rsidRDefault="00B07FFE">
            <w:pPr>
              <w:pStyle w:val="TableParagraph"/>
              <w:spacing w:before="13" w:line="249" w:lineRule="exact"/>
              <w:ind w:left="69"/>
              <w:rPr>
                <w:b/>
              </w:rPr>
            </w:pPr>
            <w:r>
              <w:rPr>
                <w:b/>
              </w:rPr>
              <w:t>la nutrición</w:t>
            </w:r>
          </w:p>
        </w:tc>
        <w:tc>
          <w:tcPr>
            <w:tcW w:w="1357" w:type="dxa"/>
            <w:vMerge/>
            <w:tcBorders>
              <w:top w:val="nil"/>
            </w:tcBorders>
          </w:tcPr>
          <w:p w14:paraId="6F8040E8" w14:textId="77777777" w:rsidR="00A92E6F" w:rsidRDefault="00A92E6F">
            <w:pPr>
              <w:rPr>
                <w:sz w:val="2"/>
                <w:szCs w:val="2"/>
              </w:rPr>
            </w:pPr>
          </w:p>
        </w:tc>
        <w:tc>
          <w:tcPr>
            <w:tcW w:w="1323" w:type="dxa"/>
            <w:tcBorders>
              <w:top w:val="nil"/>
              <w:bottom w:val="nil"/>
            </w:tcBorders>
          </w:tcPr>
          <w:p w14:paraId="6F8040E9" w14:textId="77777777" w:rsidR="00A92E6F" w:rsidRDefault="00B07FFE">
            <w:pPr>
              <w:pStyle w:val="TableParagraph"/>
              <w:spacing w:before="8"/>
              <w:ind w:left="68"/>
            </w:pPr>
            <w:r>
              <w:t>disminución</w:t>
            </w:r>
          </w:p>
        </w:tc>
        <w:tc>
          <w:tcPr>
            <w:tcW w:w="1681" w:type="dxa"/>
            <w:vMerge/>
            <w:tcBorders>
              <w:top w:val="nil"/>
            </w:tcBorders>
          </w:tcPr>
          <w:p w14:paraId="6F8040EA" w14:textId="77777777" w:rsidR="00A92E6F" w:rsidRDefault="00A92E6F">
            <w:pPr>
              <w:rPr>
                <w:sz w:val="2"/>
                <w:szCs w:val="2"/>
              </w:rPr>
            </w:pPr>
          </w:p>
        </w:tc>
        <w:tc>
          <w:tcPr>
            <w:tcW w:w="1804" w:type="dxa"/>
            <w:vMerge/>
            <w:tcBorders>
              <w:top w:val="nil"/>
            </w:tcBorders>
          </w:tcPr>
          <w:p w14:paraId="6F8040EB" w14:textId="77777777" w:rsidR="00A92E6F" w:rsidRDefault="00A92E6F">
            <w:pPr>
              <w:rPr>
                <w:sz w:val="2"/>
                <w:szCs w:val="2"/>
              </w:rPr>
            </w:pPr>
          </w:p>
        </w:tc>
        <w:tc>
          <w:tcPr>
            <w:tcW w:w="1705" w:type="dxa"/>
            <w:vMerge/>
            <w:tcBorders>
              <w:top w:val="nil"/>
            </w:tcBorders>
          </w:tcPr>
          <w:p w14:paraId="6F8040EC" w14:textId="77777777" w:rsidR="00A92E6F" w:rsidRDefault="00A92E6F">
            <w:pPr>
              <w:rPr>
                <w:sz w:val="2"/>
                <w:szCs w:val="2"/>
              </w:rPr>
            </w:pPr>
          </w:p>
        </w:tc>
      </w:tr>
      <w:tr w:rsidR="00A92E6F" w14:paraId="6F8040F4" w14:textId="77777777">
        <w:trPr>
          <w:trHeight w:val="303"/>
        </w:trPr>
        <w:tc>
          <w:tcPr>
            <w:tcW w:w="1841" w:type="dxa"/>
            <w:tcBorders>
              <w:top w:val="nil"/>
            </w:tcBorders>
          </w:tcPr>
          <w:p w14:paraId="6F8040EE" w14:textId="77777777" w:rsidR="00A92E6F" w:rsidRDefault="00A92E6F">
            <w:pPr>
              <w:pStyle w:val="TableParagraph"/>
            </w:pPr>
          </w:p>
        </w:tc>
        <w:tc>
          <w:tcPr>
            <w:tcW w:w="1357" w:type="dxa"/>
            <w:vMerge/>
            <w:tcBorders>
              <w:top w:val="nil"/>
            </w:tcBorders>
          </w:tcPr>
          <w:p w14:paraId="6F8040EF" w14:textId="77777777" w:rsidR="00A92E6F" w:rsidRDefault="00A92E6F">
            <w:pPr>
              <w:rPr>
                <w:sz w:val="2"/>
                <w:szCs w:val="2"/>
              </w:rPr>
            </w:pPr>
          </w:p>
        </w:tc>
        <w:tc>
          <w:tcPr>
            <w:tcW w:w="1323" w:type="dxa"/>
            <w:tcBorders>
              <w:top w:val="nil"/>
            </w:tcBorders>
          </w:tcPr>
          <w:p w14:paraId="6F8040F0" w14:textId="77777777" w:rsidR="00A92E6F" w:rsidRDefault="00B07FFE">
            <w:pPr>
              <w:pStyle w:val="TableParagraph"/>
              <w:spacing w:before="7"/>
              <w:ind w:left="68"/>
            </w:pPr>
            <w:r>
              <w:t>de peso</w:t>
            </w:r>
          </w:p>
        </w:tc>
        <w:tc>
          <w:tcPr>
            <w:tcW w:w="1681" w:type="dxa"/>
            <w:vMerge/>
            <w:tcBorders>
              <w:top w:val="nil"/>
            </w:tcBorders>
          </w:tcPr>
          <w:p w14:paraId="6F8040F1" w14:textId="77777777" w:rsidR="00A92E6F" w:rsidRDefault="00A92E6F">
            <w:pPr>
              <w:rPr>
                <w:sz w:val="2"/>
                <w:szCs w:val="2"/>
              </w:rPr>
            </w:pPr>
          </w:p>
        </w:tc>
        <w:tc>
          <w:tcPr>
            <w:tcW w:w="1804" w:type="dxa"/>
            <w:vMerge/>
            <w:tcBorders>
              <w:top w:val="nil"/>
            </w:tcBorders>
          </w:tcPr>
          <w:p w14:paraId="6F8040F2" w14:textId="77777777" w:rsidR="00A92E6F" w:rsidRDefault="00A92E6F">
            <w:pPr>
              <w:rPr>
                <w:sz w:val="2"/>
                <w:szCs w:val="2"/>
              </w:rPr>
            </w:pPr>
          </w:p>
        </w:tc>
        <w:tc>
          <w:tcPr>
            <w:tcW w:w="1705" w:type="dxa"/>
            <w:vMerge/>
            <w:tcBorders>
              <w:top w:val="nil"/>
            </w:tcBorders>
          </w:tcPr>
          <w:p w14:paraId="6F8040F3" w14:textId="77777777" w:rsidR="00A92E6F" w:rsidRDefault="00A92E6F">
            <w:pPr>
              <w:rPr>
                <w:sz w:val="2"/>
                <w:szCs w:val="2"/>
              </w:rPr>
            </w:pPr>
          </w:p>
        </w:tc>
      </w:tr>
      <w:tr w:rsidR="00A92E6F" w14:paraId="6F8040FB" w14:textId="77777777">
        <w:trPr>
          <w:trHeight w:val="268"/>
        </w:trPr>
        <w:tc>
          <w:tcPr>
            <w:tcW w:w="1841" w:type="dxa"/>
            <w:tcBorders>
              <w:bottom w:val="nil"/>
            </w:tcBorders>
          </w:tcPr>
          <w:p w14:paraId="6F8040F5" w14:textId="77777777" w:rsidR="00A92E6F" w:rsidRDefault="00B07FFE">
            <w:pPr>
              <w:pStyle w:val="TableParagraph"/>
              <w:spacing w:line="248" w:lineRule="exact"/>
              <w:ind w:left="69"/>
              <w:rPr>
                <w:b/>
              </w:rPr>
            </w:pPr>
            <w:r>
              <w:rPr>
                <w:b/>
              </w:rPr>
              <w:t>Trastornos</w:t>
            </w:r>
          </w:p>
        </w:tc>
        <w:tc>
          <w:tcPr>
            <w:tcW w:w="1357" w:type="dxa"/>
            <w:vMerge w:val="restart"/>
          </w:tcPr>
          <w:p w14:paraId="6F8040F6" w14:textId="77777777" w:rsidR="00A92E6F" w:rsidRDefault="00A92E6F">
            <w:pPr>
              <w:pStyle w:val="TableParagraph"/>
            </w:pPr>
          </w:p>
        </w:tc>
        <w:tc>
          <w:tcPr>
            <w:tcW w:w="1323" w:type="dxa"/>
            <w:vMerge w:val="restart"/>
          </w:tcPr>
          <w:p w14:paraId="6F8040F7" w14:textId="77777777" w:rsidR="00A92E6F" w:rsidRDefault="00A92E6F">
            <w:pPr>
              <w:pStyle w:val="TableParagraph"/>
            </w:pPr>
          </w:p>
        </w:tc>
        <w:tc>
          <w:tcPr>
            <w:tcW w:w="1681" w:type="dxa"/>
            <w:tcBorders>
              <w:bottom w:val="nil"/>
            </w:tcBorders>
          </w:tcPr>
          <w:p w14:paraId="6F8040F8" w14:textId="77777777" w:rsidR="00A92E6F" w:rsidRDefault="00B07FFE">
            <w:pPr>
              <w:pStyle w:val="TableParagraph"/>
              <w:spacing w:line="247" w:lineRule="exact"/>
              <w:ind w:left="68"/>
            </w:pPr>
            <w:r>
              <w:t>Depresión</w:t>
            </w:r>
          </w:p>
        </w:tc>
        <w:tc>
          <w:tcPr>
            <w:tcW w:w="1804" w:type="dxa"/>
            <w:tcBorders>
              <w:bottom w:val="nil"/>
            </w:tcBorders>
          </w:tcPr>
          <w:p w14:paraId="6F8040F9" w14:textId="77777777" w:rsidR="00A92E6F" w:rsidRDefault="00B07FFE">
            <w:pPr>
              <w:pStyle w:val="TableParagraph"/>
              <w:spacing w:line="247" w:lineRule="exact"/>
              <w:ind w:left="67"/>
            </w:pPr>
            <w:r>
              <w:t>Ansiedad</w:t>
            </w:r>
          </w:p>
        </w:tc>
        <w:tc>
          <w:tcPr>
            <w:tcW w:w="1705" w:type="dxa"/>
            <w:vMerge w:val="restart"/>
          </w:tcPr>
          <w:p w14:paraId="6F8040FA" w14:textId="77777777" w:rsidR="00A92E6F" w:rsidRDefault="00A92E6F">
            <w:pPr>
              <w:pStyle w:val="TableParagraph"/>
            </w:pPr>
          </w:p>
        </w:tc>
      </w:tr>
      <w:tr w:rsidR="00A92E6F" w14:paraId="6F804102" w14:textId="77777777">
        <w:trPr>
          <w:trHeight w:val="281"/>
        </w:trPr>
        <w:tc>
          <w:tcPr>
            <w:tcW w:w="1841" w:type="dxa"/>
            <w:tcBorders>
              <w:top w:val="nil"/>
              <w:bottom w:val="nil"/>
            </w:tcBorders>
          </w:tcPr>
          <w:p w14:paraId="6F8040FC" w14:textId="77777777" w:rsidR="00A92E6F" w:rsidRDefault="00B07FFE">
            <w:pPr>
              <w:pStyle w:val="TableParagraph"/>
              <w:spacing w:before="13" w:line="249" w:lineRule="exact"/>
              <w:ind w:left="69"/>
              <w:rPr>
                <w:b/>
              </w:rPr>
            </w:pPr>
            <w:r>
              <w:rPr>
                <w:b/>
              </w:rPr>
              <w:t>psiquiátricos</w:t>
            </w:r>
          </w:p>
        </w:tc>
        <w:tc>
          <w:tcPr>
            <w:tcW w:w="1357" w:type="dxa"/>
            <w:vMerge/>
            <w:tcBorders>
              <w:top w:val="nil"/>
            </w:tcBorders>
          </w:tcPr>
          <w:p w14:paraId="6F8040FD" w14:textId="77777777" w:rsidR="00A92E6F" w:rsidRDefault="00A92E6F">
            <w:pPr>
              <w:rPr>
                <w:sz w:val="2"/>
                <w:szCs w:val="2"/>
              </w:rPr>
            </w:pPr>
          </w:p>
        </w:tc>
        <w:tc>
          <w:tcPr>
            <w:tcW w:w="1323" w:type="dxa"/>
            <w:vMerge/>
            <w:tcBorders>
              <w:top w:val="nil"/>
            </w:tcBorders>
          </w:tcPr>
          <w:p w14:paraId="6F8040FE" w14:textId="77777777" w:rsidR="00A92E6F" w:rsidRDefault="00A92E6F">
            <w:pPr>
              <w:rPr>
                <w:sz w:val="2"/>
                <w:szCs w:val="2"/>
              </w:rPr>
            </w:pPr>
          </w:p>
        </w:tc>
        <w:tc>
          <w:tcPr>
            <w:tcW w:w="1681" w:type="dxa"/>
            <w:tcBorders>
              <w:top w:val="nil"/>
              <w:bottom w:val="nil"/>
            </w:tcBorders>
          </w:tcPr>
          <w:p w14:paraId="6F8040FF" w14:textId="77777777" w:rsidR="00A92E6F" w:rsidRDefault="00A92E6F">
            <w:pPr>
              <w:pStyle w:val="TableParagraph"/>
              <w:rPr>
                <w:sz w:val="20"/>
              </w:rPr>
            </w:pPr>
          </w:p>
        </w:tc>
        <w:tc>
          <w:tcPr>
            <w:tcW w:w="1804" w:type="dxa"/>
            <w:tcBorders>
              <w:top w:val="nil"/>
              <w:bottom w:val="nil"/>
            </w:tcBorders>
          </w:tcPr>
          <w:p w14:paraId="6F804100" w14:textId="77777777" w:rsidR="00A92E6F" w:rsidRDefault="00B07FFE">
            <w:pPr>
              <w:pStyle w:val="TableParagraph"/>
              <w:tabs>
                <w:tab w:val="left" w:pos="1520"/>
              </w:tabs>
              <w:spacing w:before="8"/>
              <w:ind w:left="67"/>
            </w:pPr>
            <w:r>
              <w:t>Disminución</w:t>
            </w:r>
            <w:r>
              <w:tab/>
              <w:t>de</w:t>
            </w:r>
          </w:p>
        </w:tc>
        <w:tc>
          <w:tcPr>
            <w:tcW w:w="1705" w:type="dxa"/>
            <w:vMerge/>
            <w:tcBorders>
              <w:top w:val="nil"/>
            </w:tcBorders>
          </w:tcPr>
          <w:p w14:paraId="6F804101" w14:textId="77777777" w:rsidR="00A92E6F" w:rsidRDefault="00A92E6F">
            <w:pPr>
              <w:rPr>
                <w:sz w:val="2"/>
                <w:szCs w:val="2"/>
              </w:rPr>
            </w:pPr>
          </w:p>
        </w:tc>
      </w:tr>
      <w:tr w:rsidR="00A92E6F" w14:paraId="6F804109" w14:textId="77777777">
        <w:trPr>
          <w:trHeight w:val="277"/>
        </w:trPr>
        <w:tc>
          <w:tcPr>
            <w:tcW w:w="1841" w:type="dxa"/>
            <w:tcBorders>
              <w:top w:val="nil"/>
              <w:bottom w:val="nil"/>
            </w:tcBorders>
          </w:tcPr>
          <w:p w14:paraId="6F804103" w14:textId="77777777" w:rsidR="00A92E6F" w:rsidRDefault="00A92E6F">
            <w:pPr>
              <w:pStyle w:val="TableParagraph"/>
              <w:rPr>
                <w:sz w:val="20"/>
              </w:rPr>
            </w:pPr>
          </w:p>
        </w:tc>
        <w:tc>
          <w:tcPr>
            <w:tcW w:w="1357" w:type="dxa"/>
            <w:vMerge/>
            <w:tcBorders>
              <w:top w:val="nil"/>
            </w:tcBorders>
          </w:tcPr>
          <w:p w14:paraId="6F804104" w14:textId="77777777" w:rsidR="00A92E6F" w:rsidRDefault="00A92E6F">
            <w:pPr>
              <w:rPr>
                <w:sz w:val="2"/>
                <w:szCs w:val="2"/>
              </w:rPr>
            </w:pPr>
          </w:p>
        </w:tc>
        <w:tc>
          <w:tcPr>
            <w:tcW w:w="1323" w:type="dxa"/>
            <w:vMerge/>
            <w:tcBorders>
              <w:top w:val="nil"/>
            </w:tcBorders>
          </w:tcPr>
          <w:p w14:paraId="6F804105" w14:textId="77777777" w:rsidR="00A92E6F" w:rsidRDefault="00A92E6F">
            <w:pPr>
              <w:rPr>
                <w:sz w:val="2"/>
                <w:szCs w:val="2"/>
              </w:rPr>
            </w:pPr>
          </w:p>
        </w:tc>
        <w:tc>
          <w:tcPr>
            <w:tcW w:w="1681" w:type="dxa"/>
            <w:tcBorders>
              <w:top w:val="nil"/>
              <w:bottom w:val="nil"/>
            </w:tcBorders>
          </w:tcPr>
          <w:p w14:paraId="6F804106" w14:textId="77777777" w:rsidR="00A92E6F" w:rsidRDefault="00A92E6F">
            <w:pPr>
              <w:pStyle w:val="TableParagraph"/>
              <w:rPr>
                <w:sz w:val="20"/>
              </w:rPr>
            </w:pPr>
          </w:p>
        </w:tc>
        <w:tc>
          <w:tcPr>
            <w:tcW w:w="1804" w:type="dxa"/>
            <w:tcBorders>
              <w:top w:val="nil"/>
              <w:bottom w:val="nil"/>
            </w:tcBorders>
          </w:tcPr>
          <w:p w14:paraId="6F804107" w14:textId="77777777" w:rsidR="00A92E6F" w:rsidRDefault="00B07FFE">
            <w:pPr>
              <w:pStyle w:val="TableParagraph"/>
              <w:spacing w:before="7" w:line="251" w:lineRule="exact"/>
              <w:ind w:left="67"/>
            </w:pPr>
            <w:r>
              <w:t>líbido</w:t>
            </w:r>
          </w:p>
        </w:tc>
        <w:tc>
          <w:tcPr>
            <w:tcW w:w="1705" w:type="dxa"/>
            <w:vMerge/>
            <w:tcBorders>
              <w:top w:val="nil"/>
            </w:tcBorders>
          </w:tcPr>
          <w:p w14:paraId="6F804108" w14:textId="77777777" w:rsidR="00A92E6F" w:rsidRDefault="00A92E6F">
            <w:pPr>
              <w:rPr>
                <w:sz w:val="2"/>
                <w:szCs w:val="2"/>
              </w:rPr>
            </w:pPr>
          </w:p>
        </w:tc>
      </w:tr>
      <w:tr w:rsidR="00A92E6F" w14:paraId="6F804110" w14:textId="77777777">
        <w:trPr>
          <w:trHeight w:val="305"/>
        </w:trPr>
        <w:tc>
          <w:tcPr>
            <w:tcW w:w="1841" w:type="dxa"/>
            <w:tcBorders>
              <w:top w:val="nil"/>
            </w:tcBorders>
          </w:tcPr>
          <w:p w14:paraId="6F80410A" w14:textId="77777777" w:rsidR="00A92E6F" w:rsidRDefault="00A92E6F">
            <w:pPr>
              <w:pStyle w:val="TableParagraph"/>
            </w:pPr>
          </w:p>
        </w:tc>
        <w:tc>
          <w:tcPr>
            <w:tcW w:w="1357" w:type="dxa"/>
            <w:vMerge/>
            <w:tcBorders>
              <w:top w:val="nil"/>
            </w:tcBorders>
          </w:tcPr>
          <w:p w14:paraId="6F80410B" w14:textId="77777777" w:rsidR="00A92E6F" w:rsidRDefault="00A92E6F">
            <w:pPr>
              <w:rPr>
                <w:sz w:val="2"/>
                <w:szCs w:val="2"/>
              </w:rPr>
            </w:pPr>
          </w:p>
        </w:tc>
        <w:tc>
          <w:tcPr>
            <w:tcW w:w="1323" w:type="dxa"/>
            <w:vMerge/>
            <w:tcBorders>
              <w:top w:val="nil"/>
            </w:tcBorders>
          </w:tcPr>
          <w:p w14:paraId="6F80410C" w14:textId="77777777" w:rsidR="00A92E6F" w:rsidRDefault="00A92E6F">
            <w:pPr>
              <w:rPr>
                <w:sz w:val="2"/>
                <w:szCs w:val="2"/>
              </w:rPr>
            </w:pPr>
          </w:p>
        </w:tc>
        <w:tc>
          <w:tcPr>
            <w:tcW w:w="1681" w:type="dxa"/>
            <w:tcBorders>
              <w:top w:val="nil"/>
            </w:tcBorders>
          </w:tcPr>
          <w:p w14:paraId="6F80410D" w14:textId="77777777" w:rsidR="00A92E6F" w:rsidRDefault="00A92E6F">
            <w:pPr>
              <w:pStyle w:val="TableParagraph"/>
            </w:pPr>
          </w:p>
        </w:tc>
        <w:tc>
          <w:tcPr>
            <w:tcW w:w="1804" w:type="dxa"/>
            <w:tcBorders>
              <w:top w:val="nil"/>
            </w:tcBorders>
          </w:tcPr>
          <w:p w14:paraId="6F80410E" w14:textId="77777777" w:rsidR="00A92E6F" w:rsidRDefault="00B07FFE">
            <w:pPr>
              <w:pStyle w:val="TableParagraph"/>
              <w:spacing w:before="9"/>
              <w:ind w:left="67"/>
            </w:pPr>
            <w:r>
              <w:t>Aumento de líbido</w:t>
            </w:r>
          </w:p>
        </w:tc>
        <w:tc>
          <w:tcPr>
            <w:tcW w:w="1705" w:type="dxa"/>
            <w:vMerge/>
            <w:tcBorders>
              <w:top w:val="nil"/>
            </w:tcBorders>
          </w:tcPr>
          <w:p w14:paraId="6F80410F" w14:textId="77777777" w:rsidR="00A92E6F" w:rsidRDefault="00A92E6F">
            <w:pPr>
              <w:rPr>
                <w:sz w:val="2"/>
                <w:szCs w:val="2"/>
              </w:rPr>
            </w:pPr>
          </w:p>
        </w:tc>
      </w:tr>
    </w:tbl>
    <w:p w14:paraId="6F804111" w14:textId="77777777" w:rsidR="00A92E6F" w:rsidRDefault="00A92E6F">
      <w:pPr>
        <w:rPr>
          <w:sz w:val="2"/>
          <w:szCs w:val="2"/>
        </w:rPr>
        <w:sectPr w:rsidR="00A92E6F">
          <w:pgSz w:w="11910" w:h="16840"/>
          <w:pgMar w:top="60" w:right="520" w:bottom="980" w:left="1060" w:header="0" w:footer="714" w:gutter="0"/>
          <w:cols w:space="720"/>
        </w:sectPr>
      </w:pPr>
    </w:p>
    <w:p w14:paraId="6F804112" w14:textId="5DDE37CD" w:rsidR="00A92E6F" w:rsidRDefault="00A92E6F">
      <w:pPr>
        <w:pStyle w:val="Textoindependiente"/>
        <w:rPr>
          <w:sz w:val="20"/>
        </w:rPr>
      </w:pPr>
    </w:p>
    <w:p w14:paraId="6F804113" w14:textId="77777777" w:rsidR="00A92E6F" w:rsidRDefault="00A92E6F">
      <w:pPr>
        <w:pStyle w:val="Textoindependiente"/>
        <w:rPr>
          <w:sz w:val="20"/>
        </w:rPr>
      </w:pPr>
    </w:p>
    <w:p w14:paraId="6F804114" w14:textId="77777777" w:rsidR="00A92E6F" w:rsidRDefault="00A92E6F">
      <w:pPr>
        <w:pStyle w:val="Textoindependiente"/>
        <w:rPr>
          <w:sz w:val="20"/>
        </w:rPr>
      </w:pPr>
    </w:p>
    <w:p w14:paraId="6F804115" w14:textId="77777777" w:rsidR="00A92E6F" w:rsidRDefault="00A92E6F">
      <w:pPr>
        <w:pStyle w:val="Textoindependiente"/>
        <w:rPr>
          <w:sz w:val="20"/>
        </w:rPr>
      </w:pPr>
    </w:p>
    <w:p w14:paraId="6F804116" w14:textId="77777777" w:rsidR="00A92E6F" w:rsidRDefault="00A92E6F">
      <w:pPr>
        <w:pStyle w:val="Textoindependiente"/>
        <w:spacing w:before="2"/>
        <w:rPr>
          <w:sz w:val="24"/>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1357"/>
        <w:gridCol w:w="1323"/>
        <w:gridCol w:w="1681"/>
        <w:gridCol w:w="1804"/>
        <w:gridCol w:w="1705"/>
      </w:tblGrid>
      <w:tr w:rsidR="00A92E6F" w14:paraId="6F80411D" w14:textId="77777777">
        <w:trPr>
          <w:trHeight w:val="1744"/>
        </w:trPr>
        <w:tc>
          <w:tcPr>
            <w:tcW w:w="1841" w:type="dxa"/>
          </w:tcPr>
          <w:p w14:paraId="6F804117" w14:textId="77777777" w:rsidR="00A92E6F" w:rsidRDefault="00B07FFE">
            <w:pPr>
              <w:pStyle w:val="TableParagraph"/>
              <w:tabs>
                <w:tab w:val="left" w:pos="1489"/>
              </w:tabs>
              <w:spacing w:line="276" w:lineRule="auto"/>
              <w:ind w:left="69" w:right="59"/>
              <w:rPr>
                <w:b/>
              </w:rPr>
            </w:pPr>
            <w:r>
              <w:rPr>
                <w:b/>
              </w:rPr>
              <w:t>Trastornos</w:t>
            </w:r>
            <w:r>
              <w:rPr>
                <w:b/>
              </w:rPr>
              <w:tab/>
            </w:r>
            <w:r>
              <w:rPr>
                <w:b/>
                <w:spacing w:val="-9"/>
              </w:rPr>
              <w:t xml:space="preserve">del </w:t>
            </w:r>
            <w:r>
              <w:rPr>
                <w:b/>
              </w:rPr>
              <w:t>sistema</w:t>
            </w:r>
            <w:r>
              <w:rPr>
                <w:b/>
                <w:spacing w:val="-1"/>
              </w:rPr>
              <w:t xml:space="preserve"> </w:t>
            </w:r>
            <w:r>
              <w:rPr>
                <w:b/>
              </w:rPr>
              <w:t>nervioso</w:t>
            </w:r>
          </w:p>
        </w:tc>
        <w:tc>
          <w:tcPr>
            <w:tcW w:w="1357" w:type="dxa"/>
          </w:tcPr>
          <w:p w14:paraId="6F804118" w14:textId="77777777" w:rsidR="00A92E6F" w:rsidRDefault="00A92E6F">
            <w:pPr>
              <w:pStyle w:val="TableParagraph"/>
            </w:pPr>
          </w:p>
        </w:tc>
        <w:tc>
          <w:tcPr>
            <w:tcW w:w="1323" w:type="dxa"/>
          </w:tcPr>
          <w:p w14:paraId="6F804119" w14:textId="77777777" w:rsidR="00A92E6F" w:rsidRDefault="00B07FFE">
            <w:pPr>
              <w:pStyle w:val="TableParagraph"/>
              <w:spacing w:line="276" w:lineRule="auto"/>
              <w:ind w:left="68" w:right="45"/>
            </w:pPr>
            <w:r>
              <w:t>Cefalea Nerviosismo, Cambios de humor, Insomnio</w:t>
            </w:r>
          </w:p>
        </w:tc>
        <w:tc>
          <w:tcPr>
            <w:tcW w:w="1681" w:type="dxa"/>
          </w:tcPr>
          <w:p w14:paraId="6F80411A" w14:textId="77777777" w:rsidR="00A92E6F" w:rsidRDefault="00B07FFE">
            <w:pPr>
              <w:pStyle w:val="TableParagraph"/>
              <w:spacing w:line="276" w:lineRule="auto"/>
              <w:ind w:left="68" w:right="855"/>
            </w:pPr>
            <w:r>
              <w:t>Vértigo, Mareo</w:t>
            </w:r>
          </w:p>
        </w:tc>
        <w:tc>
          <w:tcPr>
            <w:tcW w:w="1804" w:type="dxa"/>
          </w:tcPr>
          <w:p w14:paraId="6F80411B" w14:textId="77777777" w:rsidR="00A92E6F" w:rsidRDefault="00B07FFE">
            <w:pPr>
              <w:pStyle w:val="TableParagraph"/>
              <w:spacing w:line="276" w:lineRule="auto"/>
              <w:ind w:left="67" w:right="772"/>
            </w:pPr>
            <w:r>
              <w:t>Parestesia, Epilepsia Migraña</w:t>
            </w:r>
          </w:p>
        </w:tc>
        <w:tc>
          <w:tcPr>
            <w:tcW w:w="1705" w:type="dxa"/>
          </w:tcPr>
          <w:p w14:paraId="6F80411C" w14:textId="77777777" w:rsidR="00A92E6F" w:rsidRDefault="00B07FFE">
            <w:pPr>
              <w:pStyle w:val="TableParagraph"/>
              <w:spacing w:line="276" w:lineRule="auto"/>
              <w:ind w:left="66" w:right="216"/>
            </w:pPr>
            <w:r>
              <w:t>Accidente cerebrovascular</w:t>
            </w:r>
          </w:p>
        </w:tc>
      </w:tr>
      <w:tr w:rsidR="00A92E6F" w14:paraId="6F804126" w14:textId="77777777">
        <w:trPr>
          <w:trHeight w:val="582"/>
        </w:trPr>
        <w:tc>
          <w:tcPr>
            <w:tcW w:w="1841" w:type="dxa"/>
          </w:tcPr>
          <w:p w14:paraId="6F80411E" w14:textId="77777777" w:rsidR="00A92E6F" w:rsidRDefault="00B07FFE">
            <w:pPr>
              <w:pStyle w:val="TableParagraph"/>
              <w:spacing w:line="251" w:lineRule="exact"/>
              <w:ind w:left="69"/>
              <w:rPr>
                <w:b/>
              </w:rPr>
            </w:pPr>
            <w:r>
              <w:rPr>
                <w:b/>
              </w:rPr>
              <w:t>Trastornos</w:t>
            </w:r>
          </w:p>
          <w:p w14:paraId="6F80411F" w14:textId="77777777" w:rsidR="00A92E6F" w:rsidRDefault="00B07FFE">
            <w:pPr>
              <w:pStyle w:val="TableParagraph"/>
              <w:spacing w:before="40"/>
              <w:ind w:left="69"/>
              <w:rPr>
                <w:b/>
              </w:rPr>
            </w:pPr>
            <w:r>
              <w:rPr>
                <w:b/>
              </w:rPr>
              <w:t>oculares</w:t>
            </w:r>
          </w:p>
        </w:tc>
        <w:tc>
          <w:tcPr>
            <w:tcW w:w="1357" w:type="dxa"/>
          </w:tcPr>
          <w:p w14:paraId="6F804120" w14:textId="77777777" w:rsidR="00A92E6F" w:rsidRDefault="00A92E6F">
            <w:pPr>
              <w:pStyle w:val="TableParagraph"/>
            </w:pPr>
          </w:p>
        </w:tc>
        <w:tc>
          <w:tcPr>
            <w:tcW w:w="1323" w:type="dxa"/>
          </w:tcPr>
          <w:p w14:paraId="6F804121" w14:textId="77777777" w:rsidR="00A92E6F" w:rsidRDefault="00A92E6F">
            <w:pPr>
              <w:pStyle w:val="TableParagraph"/>
            </w:pPr>
          </w:p>
        </w:tc>
        <w:tc>
          <w:tcPr>
            <w:tcW w:w="1681" w:type="dxa"/>
          </w:tcPr>
          <w:p w14:paraId="6F804122" w14:textId="77777777" w:rsidR="00A92E6F" w:rsidRDefault="00B07FFE">
            <w:pPr>
              <w:pStyle w:val="TableParagraph"/>
              <w:spacing w:line="247" w:lineRule="exact"/>
              <w:ind w:left="68"/>
            </w:pPr>
            <w:r>
              <w:t>Alteración visual</w:t>
            </w:r>
          </w:p>
        </w:tc>
        <w:tc>
          <w:tcPr>
            <w:tcW w:w="1804" w:type="dxa"/>
          </w:tcPr>
          <w:p w14:paraId="6F804123" w14:textId="77777777" w:rsidR="00A92E6F" w:rsidRDefault="00B07FFE">
            <w:pPr>
              <w:pStyle w:val="TableParagraph"/>
              <w:spacing w:line="247" w:lineRule="exact"/>
              <w:ind w:left="67"/>
            </w:pPr>
            <w:r>
              <w:t>Intolerancia a las</w:t>
            </w:r>
          </w:p>
          <w:p w14:paraId="6F804124" w14:textId="77777777" w:rsidR="00A92E6F" w:rsidRDefault="00B07FFE">
            <w:pPr>
              <w:pStyle w:val="TableParagraph"/>
              <w:spacing w:before="40"/>
              <w:ind w:left="67"/>
            </w:pPr>
            <w:r>
              <w:t>lentes de contacto</w:t>
            </w:r>
          </w:p>
        </w:tc>
        <w:tc>
          <w:tcPr>
            <w:tcW w:w="1705" w:type="dxa"/>
          </w:tcPr>
          <w:p w14:paraId="6F804125" w14:textId="77777777" w:rsidR="00A92E6F" w:rsidRDefault="00A92E6F">
            <w:pPr>
              <w:pStyle w:val="TableParagraph"/>
            </w:pPr>
          </w:p>
        </w:tc>
      </w:tr>
      <w:tr w:rsidR="00A92E6F" w14:paraId="6F80412F" w14:textId="77777777">
        <w:trPr>
          <w:trHeight w:val="580"/>
        </w:trPr>
        <w:tc>
          <w:tcPr>
            <w:tcW w:w="1841" w:type="dxa"/>
          </w:tcPr>
          <w:p w14:paraId="6F804127" w14:textId="77777777" w:rsidR="00A92E6F" w:rsidRDefault="00B07FFE">
            <w:pPr>
              <w:pStyle w:val="TableParagraph"/>
              <w:spacing w:line="251" w:lineRule="exact"/>
              <w:ind w:left="69"/>
              <w:rPr>
                <w:b/>
              </w:rPr>
            </w:pPr>
            <w:r>
              <w:rPr>
                <w:b/>
              </w:rPr>
              <w:t>Trastornos</w:t>
            </w:r>
          </w:p>
          <w:p w14:paraId="6F804128" w14:textId="77777777" w:rsidR="00A92E6F" w:rsidRDefault="00B07FFE">
            <w:pPr>
              <w:pStyle w:val="TableParagraph"/>
              <w:spacing w:before="37"/>
              <w:ind w:left="69"/>
              <w:rPr>
                <w:b/>
              </w:rPr>
            </w:pPr>
            <w:r>
              <w:rPr>
                <w:b/>
              </w:rPr>
              <w:t>cardiacos</w:t>
            </w:r>
          </w:p>
        </w:tc>
        <w:tc>
          <w:tcPr>
            <w:tcW w:w="1357" w:type="dxa"/>
          </w:tcPr>
          <w:p w14:paraId="6F804129" w14:textId="77777777" w:rsidR="00A92E6F" w:rsidRDefault="00A92E6F">
            <w:pPr>
              <w:pStyle w:val="TableParagraph"/>
            </w:pPr>
          </w:p>
        </w:tc>
        <w:tc>
          <w:tcPr>
            <w:tcW w:w="1323" w:type="dxa"/>
          </w:tcPr>
          <w:p w14:paraId="6F80412A" w14:textId="77777777" w:rsidR="00A92E6F" w:rsidRDefault="00A92E6F">
            <w:pPr>
              <w:pStyle w:val="TableParagraph"/>
            </w:pPr>
          </w:p>
        </w:tc>
        <w:tc>
          <w:tcPr>
            <w:tcW w:w="1681" w:type="dxa"/>
          </w:tcPr>
          <w:p w14:paraId="6F80412B" w14:textId="77777777" w:rsidR="00A92E6F" w:rsidRDefault="00B07FFE">
            <w:pPr>
              <w:pStyle w:val="TableParagraph"/>
              <w:spacing w:line="247" w:lineRule="exact"/>
              <w:ind w:left="68"/>
            </w:pPr>
            <w:r>
              <w:t>Palpitaciones</w:t>
            </w:r>
          </w:p>
        </w:tc>
        <w:tc>
          <w:tcPr>
            <w:tcW w:w="1804" w:type="dxa"/>
          </w:tcPr>
          <w:p w14:paraId="6F80412C" w14:textId="77777777" w:rsidR="00A92E6F" w:rsidRDefault="00A92E6F">
            <w:pPr>
              <w:pStyle w:val="TableParagraph"/>
            </w:pPr>
          </w:p>
        </w:tc>
        <w:tc>
          <w:tcPr>
            <w:tcW w:w="1705" w:type="dxa"/>
          </w:tcPr>
          <w:p w14:paraId="6F80412D" w14:textId="77777777" w:rsidR="00A92E6F" w:rsidRDefault="00B07FFE">
            <w:pPr>
              <w:pStyle w:val="TableParagraph"/>
              <w:tabs>
                <w:tab w:val="left" w:pos="1424"/>
              </w:tabs>
              <w:spacing w:line="247" w:lineRule="exact"/>
              <w:ind w:left="66"/>
            </w:pPr>
            <w:r>
              <w:t>Infarto</w:t>
            </w:r>
            <w:r>
              <w:tab/>
              <w:t>de</w:t>
            </w:r>
          </w:p>
          <w:p w14:paraId="6F80412E" w14:textId="77777777" w:rsidR="00A92E6F" w:rsidRDefault="00B07FFE">
            <w:pPr>
              <w:pStyle w:val="TableParagraph"/>
              <w:spacing w:before="37"/>
              <w:ind w:left="66"/>
            </w:pPr>
            <w:r>
              <w:t>miocardio</w:t>
            </w:r>
          </w:p>
        </w:tc>
      </w:tr>
      <w:tr w:rsidR="00A92E6F" w14:paraId="6F804139" w14:textId="77777777">
        <w:trPr>
          <w:trHeight w:val="582"/>
        </w:trPr>
        <w:tc>
          <w:tcPr>
            <w:tcW w:w="1841" w:type="dxa"/>
          </w:tcPr>
          <w:p w14:paraId="6F804130" w14:textId="77777777" w:rsidR="00A92E6F" w:rsidRDefault="00B07FFE">
            <w:pPr>
              <w:pStyle w:val="TableParagraph"/>
              <w:spacing w:before="1"/>
              <w:ind w:left="69"/>
              <w:rPr>
                <w:b/>
              </w:rPr>
            </w:pPr>
            <w:r>
              <w:rPr>
                <w:b/>
              </w:rPr>
              <w:t>Trastornos</w:t>
            </w:r>
          </w:p>
          <w:p w14:paraId="6F804131" w14:textId="77777777" w:rsidR="00A92E6F" w:rsidRDefault="00B07FFE">
            <w:pPr>
              <w:pStyle w:val="TableParagraph"/>
              <w:spacing w:before="37"/>
              <w:ind w:left="69"/>
              <w:rPr>
                <w:b/>
              </w:rPr>
            </w:pPr>
            <w:r>
              <w:rPr>
                <w:b/>
              </w:rPr>
              <w:t>vasculares</w:t>
            </w:r>
          </w:p>
        </w:tc>
        <w:tc>
          <w:tcPr>
            <w:tcW w:w="1357" w:type="dxa"/>
          </w:tcPr>
          <w:p w14:paraId="6F804132" w14:textId="77777777" w:rsidR="00A92E6F" w:rsidRDefault="00A92E6F">
            <w:pPr>
              <w:pStyle w:val="TableParagraph"/>
            </w:pPr>
          </w:p>
        </w:tc>
        <w:tc>
          <w:tcPr>
            <w:tcW w:w="1323" w:type="dxa"/>
          </w:tcPr>
          <w:p w14:paraId="6F804133" w14:textId="77777777" w:rsidR="00A92E6F" w:rsidRDefault="00A92E6F">
            <w:pPr>
              <w:pStyle w:val="TableParagraph"/>
            </w:pPr>
          </w:p>
        </w:tc>
        <w:tc>
          <w:tcPr>
            <w:tcW w:w="1681" w:type="dxa"/>
          </w:tcPr>
          <w:p w14:paraId="6F804134" w14:textId="77777777" w:rsidR="00A92E6F" w:rsidRDefault="00B07FFE">
            <w:pPr>
              <w:pStyle w:val="TableParagraph"/>
              <w:spacing w:line="249" w:lineRule="exact"/>
              <w:ind w:left="68"/>
            </w:pPr>
            <w:r>
              <w:t>Aumento de la</w:t>
            </w:r>
          </w:p>
          <w:p w14:paraId="6F804135" w14:textId="77777777" w:rsidR="00A92E6F" w:rsidRDefault="00B07FFE">
            <w:pPr>
              <w:pStyle w:val="TableParagraph"/>
              <w:spacing w:before="37"/>
              <w:ind w:left="68"/>
            </w:pPr>
            <w:r>
              <w:t>presión arterial</w:t>
            </w:r>
          </w:p>
        </w:tc>
        <w:tc>
          <w:tcPr>
            <w:tcW w:w="1804" w:type="dxa"/>
          </w:tcPr>
          <w:p w14:paraId="6F804136" w14:textId="77777777" w:rsidR="00A92E6F" w:rsidRDefault="00B07FFE">
            <w:pPr>
              <w:pStyle w:val="TableParagraph"/>
              <w:spacing w:line="249" w:lineRule="exact"/>
              <w:ind w:left="67"/>
            </w:pPr>
            <w:r>
              <w:t>Trombosis</w:t>
            </w:r>
          </w:p>
        </w:tc>
        <w:tc>
          <w:tcPr>
            <w:tcW w:w="1705" w:type="dxa"/>
          </w:tcPr>
          <w:p w14:paraId="6F804137" w14:textId="77777777" w:rsidR="00A92E6F" w:rsidRDefault="00B07FFE">
            <w:pPr>
              <w:pStyle w:val="TableParagraph"/>
              <w:spacing w:line="249" w:lineRule="exact"/>
              <w:ind w:left="66"/>
            </w:pPr>
            <w:r>
              <w:t>Trombosis</w:t>
            </w:r>
          </w:p>
          <w:p w14:paraId="6F804138" w14:textId="77777777" w:rsidR="00A92E6F" w:rsidRDefault="00B07FFE">
            <w:pPr>
              <w:pStyle w:val="TableParagraph"/>
              <w:spacing w:before="37"/>
              <w:ind w:left="66"/>
            </w:pPr>
            <w:r>
              <w:t>venosa profunda</w:t>
            </w:r>
          </w:p>
        </w:tc>
      </w:tr>
      <w:tr w:rsidR="00A92E6F" w14:paraId="6F804141" w14:textId="77777777">
        <w:trPr>
          <w:trHeight w:val="1164"/>
        </w:trPr>
        <w:tc>
          <w:tcPr>
            <w:tcW w:w="1841" w:type="dxa"/>
          </w:tcPr>
          <w:p w14:paraId="6F80413A" w14:textId="77777777" w:rsidR="00A92E6F" w:rsidRDefault="00B07FFE">
            <w:pPr>
              <w:pStyle w:val="TableParagraph"/>
              <w:tabs>
                <w:tab w:val="left" w:pos="1659"/>
              </w:tabs>
              <w:spacing w:line="276" w:lineRule="auto"/>
              <w:ind w:left="69" w:right="58"/>
              <w:rPr>
                <w:b/>
              </w:rPr>
            </w:pPr>
            <w:r>
              <w:rPr>
                <w:b/>
              </w:rPr>
              <w:t>Trastornos respiratorios, torácicos</w:t>
            </w:r>
            <w:r>
              <w:rPr>
                <w:b/>
              </w:rPr>
              <w:tab/>
            </w:r>
            <w:r>
              <w:rPr>
                <w:b/>
                <w:spacing w:val="-17"/>
              </w:rPr>
              <w:t>y</w:t>
            </w:r>
          </w:p>
          <w:p w14:paraId="6F80413B" w14:textId="77777777" w:rsidR="00A92E6F" w:rsidRDefault="00B07FFE">
            <w:pPr>
              <w:pStyle w:val="TableParagraph"/>
              <w:ind w:left="69"/>
              <w:rPr>
                <w:b/>
              </w:rPr>
            </w:pPr>
            <w:r>
              <w:rPr>
                <w:b/>
              </w:rPr>
              <w:t>mediastínicos</w:t>
            </w:r>
          </w:p>
        </w:tc>
        <w:tc>
          <w:tcPr>
            <w:tcW w:w="1357" w:type="dxa"/>
          </w:tcPr>
          <w:p w14:paraId="6F80413C" w14:textId="77777777" w:rsidR="00A92E6F" w:rsidRDefault="00A92E6F">
            <w:pPr>
              <w:pStyle w:val="TableParagraph"/>
            </w:pPr>
          </w:p>
        </w:tc>
        <w:tc>
          <w:tcPr>
            <w:tcW w:w="1323" w:type="dxa"/>
          </w:tcPr>
          <w:p w14:paraId="6F80413D" w14:textId="77777777" w:rsidR="00A92E6F" w:rsidRDefault="00A92E6F">
            <w:pPr>
              <w:pStyle w:val="TableParagraph"/>
            </w:pPr>
          </w:p>
        </w:tc>
        <w:tc>
          <w:tcPr>
            <w:tcW w:w="1681" w:type="dxa"/>
          </w:tcPr>
          <w:p w14:paraId="6F80413E" w14:textId="77777777" w:rsidR="00A92E6F" w:rsidRDefault="00A92E6F">
            <w:pPr>
              <w:pStyle w:val="TableParagraph"/>
            </w:pPr>
          </w:p>
        </w:tc>
        <w:tc>
          <w:tcPr>
            <w:tcW w:w="1804" w:type="dxa"/>
          </w:tcPr>
          <w:p w14:paraId="6F80413F" w14:textId="77777777" w:rsidR="00A92E6F" w:rsidRDefault="00A92E6F">
            <w:pPr>
              <w:pStyle w:val="TableParagraph"/>
            </w:pPr>
          </w:p>
        </w:tc>
        <w:tc>
          <w:tcPr>
            <w:tcW w:w="1705" w:type="dxa"/>
          </w:tcPr>
          <w:p w14:paraId="6F804140" w14:textId="77777777" w:rsidR="00A92E6F" w:rsidRDefault="00B07FFE">
            <w:pPr>
              <w:pStyle w:val="TableParagraph"/>
              <w:spacing w:line="276" w:lineRule="auto"/>
              <w:ind w:left="66" w:right="594"/>
            </w:pPr>
            <w:r>
              <w:t>Embolismo pulmonar</w:t>
            </w:r>
          </w:p>
        </w:tc>
      </w:tr>
      <w:tr w:rsidR="00A92E6F" w14:paraId="6F804148" w14:textId="77777777">
        <w:trPr>
          <w:trHeight w:val="1453"/>
        </w:trPr>
        <w:tc>
          <w:tcPr>
            <w:tcW w:w="1841" w:type="dxa"/>
          </w:tcPr>
          <w:p w14:paraId="6F804142" w14:textId="77777777" w:rsidR="00A92E6F" w:rsidRDefault="00B07FFE">
            <w:pPr>
              <w:pStyle w:val="TableParagraph"/>
              <w:spacing w:line="276" w:lineRule="auto"/>
              <w:ind w:left="69" w:right="104"/>
              <w:rPr>
                <w:b/>
              </w:rPr>
            </w:pPr>
            <w:r>
              <w:rPr>
                <w:b/>
              </w:rPr>
              <w:t>Trastornos gastrointestinales</w:t>
            </w:r>
          </w:p>
        </w:tc>
        <w:tc>
          <w:tcPr>
            <w:tcW w:w="1357" w:type="dxa"/>
          </w:tcPr>
          <w:p w14:paraId="6F804143" w14:textId="77777777" w:rsidR="00A92E6F" w:rsidRDefault="00A92E6F">
            <w:pPr>
              <w:pStyle w:val="TableParagraph"/>
            </w:pPr>
          </w:p>
        </w:tc>
        <w:tc>
          <w:tcPr>
            <w:tcW w:w="1323" w:type="dxa"/>
          </w:tcPr>
          <w:p w14:paraId="6F804144" w14:textId="77777777" w:rsidR="00A92E6F" w:rsidRDefault="00B07FFE">
            <w:pPr>
              <w:pStyle w:val="TableParagraph"/>
              <w:spacing w:line="276" w:lineRule="auto"/>
              <w:ind w:left="68" w:right="241"/>
            </w:pPr>
            <w:r>
              <w:t>Dolor abdominal, Diarrea, Náuseas</w:t>
            </w:r>
          </w:p>
        </w:tc>
        <w:tc>
          <w:tcPr>
            <w:tcW w:w="1681" w:type="dxa"/>
          </w:tcPr>
          <w:p w14:paraId="6F804145" w14:textId="77777777" w:rsidR="00A92E6F" w:rsidRDefault="00B07FFE">
            <w:pPr>
              <w:pStyle w:val="TableParagraph"/>
              <w:spacing w:line="276" w:lineRule="auto"/>
              <w:ind w:left="68" w:right="550"/>
            </w:pPr>
            <w:r>
              <w:t>Flatulencia, Dispepsia,</w:t>
            </w:r>
          </w:p>
        </w:tc>
        <w:tc>
          <w:tcPr>
            <w:tcW w:w="1804" w:type="dxa"/>
          </w:tcPr>
          <w:p w14:paraId="6F804146" w14:textId="77777777" w:rsidR="00A92E6F" w:rsidRDefault="00B07FFE">
            <w:pPr>
              <w:pStyle w:val="TableParagraph"/>
              <w:spacing w:line="276" w:lineRule="auto"/>
              <w:ind w:left="67" w:right="643"/>
            </w:pPr>
            <w:r>
              <w:t>Distensión abdominal, Vómitos, Meteorismo</w:t>
            </w:r>
          </w:p>
        </w:tc>
        <w:tc>
          <w:tcPr>
            <w:tcW w:w="1705" w:type="dxa"/>
          </w:tcPr>
          <w:p w14:paraId="6F804147" w14:textId="77777777" w:rsidR="00A92E6F" w:rsidRDefault="00A92E6F">
            <w:pPr>
              <w:pStyle w:val="TableParagraph"/>
            </w:pPr>
          </w:p>
        </w:tc>
      </w:tr>
      <w:tr w:rsidR="00A92E6F" w14:paraId="6F804150" w14:textId="77777777">
        <w:trPr>
          <w:trHeight w:val="582"/>
        </w:trPr>
        <w:tc>
          <w:tcPr>
            <w:tcW w:w="1841" w:type="dxa"/>
          </w:tcPr>
          <w:p w14:paraId="6F804149" w14:textId="77777777" w:rsidR="00A92E6F" w:rsidRDefault="00B07FFE">
            <w:pPr>
              <w:pStyle w:val="TableParagraph"/>
              <w:spacing w:line="251" w:lineRule="exact"/>
              <w:ind w:left="69"/>
              <w:rPr>
                <w:b/>
              </w:rPr>
            </w:pPr>
            <w:r>
              <w:rPr>
                <w:b/>
              </w:rPr>
              <w:t>Trastornos</w:t>
            </w:r>
          </w:p>
          <w:p w14:paraId="6F80414A" w14:textId="77777777" w:rsidR="00A92E6F" w:rsidRDefault="00B07FFE">
            <w:pPr>
              <w:pStyle w:val="TableParagraph"/>
              <w:spacing w:before="40"/>
              <w:ind w:left="69"/>
              <w:rPr>
                <w:b/>
              </w:rPr>
            </w:pPr>
            <w:r>
              <w:rPr>
                <w:b/>
              </w:rPr>
              <w:t>hepatobiliares</w:t>
            </w:r>
          </w:p>
        </w:tc>
        <w:tc>
          <w:tcPr>
            <w:tcW w:w="1357" w:type="dxa"/>
          </w:tcPr>
          <w:p w14:paraId="6F80414B" w14:textId="77777777" w:rsidR="00A92E6F" w:rsidRDefault="00A92E6F">
            <w:pPr>
              <w:pStyle w:val="TableParagraph"/>
            </w:pPr>
          </w:p>
        </w:tc>
        <w:tc>
          <w:tcPr>
            <w:tcW w:w="1323" w:type="dxa"/>
          </w:tcPr>
          <w:p w14:paraId="6F80414C" w14:textId="77777777" w:rsidR="00A92E6F" w:rsidRDefault="00A92E6F">
            <w:pPr>
              <w:pStyle w:val="TableParagraph"/>
            </w:pPr>
          </w:p>
        </w:tc>
        <w:tc>
          <w:tcPr>
            <w:tcW w:w="1681" w:type="dxa"/>
          </w:tcPr>
          <w:p w14:paraId="6F80414D" w14:textId="77777777" w:rsidR="00A92E6F" w:rsidRDefault="00A92E6F">
            <w:pPr>
              <w:pStyle w:val="TableParagraph"/>
            </w:pPr>
          </w:p>
        </w:tc>
        <w:tc>
          <w:tcPr>
            <w:tcW w:w="1804" w:type="dxa"/>
          </w:tcPr>
          <w:p w14:paraId="6F80414E" w14:textId="77777777" w:rsidR="00A92E6F" w:rsidRDefault="00B07FFE">
            <w:pPr>
              <w:pStyle w:val="TableParagraph"/>
              <w:spacing w:line="247" w:lineRule="exact"/>
              <w:ind w:left="67"/>
            </w:pPr>
            <w:r>
              <w:t>Litiasis biliar</w:t>
            </w:r>
          </w:p>
        </w:tc>
        <w:tc>
          <w:tcPr>
            <w:tcW w:w="1705" w:type="dxa"/>
          </w:tcPr>
          <w:p w14:paraId="6F80414F" w14:textId="77777777" w:rsidR="00A92E6F" w:rsidRDefault="00A92E6F">
            <w:pPr>
              <w:pStyle w:val="TableParagraph"/>
            </w:pPr>
          </w:p>
        </w:tc>
      </w:tr>
      <w:tr w:rsidR="00A92E6F" w14:paraId="6F804158" w14:textId="77777777">
        <w:trPr>
          <w:trHeight w:val="1454"/>
        </w:trPr>
        <w:tc>
          <w:tcPr>
            <w:tcW w:w="1841" w:type="dxa"/>
          </w:tcPr>
          <w:p w14:paraId="6F804151" w14:textId="77777777" w:rsidR="00A92E6F" w:rsidRDefault="00B07FFE">
            <w:pPr>
              <w:pStyle w:val="TableParagraph"/>
              <w:spacing w:line="276" w:lineRule="auto"/>
              <w:ind w:left="69" w:right="58"/>
              <w:jc w:val="both"/>
              <w:rPr>
                <w:b/>
              </w:rPr>
            </w:pPr>
            <w:r>
              <w:rPr>
                <w:b/>
              </w:rPr>
              <w:t>Trastornos de la piel y del tejido subcutáneo</w:t>
            </w:r>
          </w:p>
        </w:tc>
        <w:tc>
          <w:tcPr>
            <w:tcW w:w="1357" w:type="dxa"/>
          </w:tcPr>
          <w:p w14:paraId="6F804152" w14:textId="77777777" w:rsidR="00A92E6F" w:rsidRDefault="00A92E6F">
            <w:pPr>
              <w:pStyle w:val="TableParagraph"/>
            </w:pPr>
          </w:p>
        </w:tc>
        <w:tc>
          <w:tcPr>
            <w:tcW w:w="1323" w:type="dxa"/>
          </w:tcPr>
          <w:p w14:paraId="6F804153" w14:textId="77777777" w:rsidR="00A92E6F" w:rsidRDefault="00B07FFE">
            <w:pPr>
              <w:pStyle w:val="TableParagraph"/>
              <w:spacing w:line="276" w:lineRule="auto"/>
              <w:ind w:left="68"/>
            </w:pPr>
            <w:r>
              <w:t>Prurito, Exantema, Sequedad de piel</w:t>
            </w:r>
          </w:p>
        </w:tc>
        <w:tc>
          <w:tcPr>
            <w:tcW w:w="1681" w:type="dxa"/>
          </w:tcPr>
          <w:p w14:paraId="6F804154" w14:textId="77777777" w:rsidR="00A92E6F" w:rsidRDefault="00B07FFE">
            <w:pPr>
              <w:pStyle w:val="TableParagraph"/>
              <w:spacing w:line="276" w:lineRule="auto"/>
              <w:ind w:left="68" w:right="16"/>
            </w:pPr>
            <w:r>
              <w:t>Decoloración de la piel,</w:t>
            </w:r>
          </w:p>
          <w:p w14:paraId="6F804155" w14:textId="77777777" w:rsidR="00A92E6F" w:rsidRDefault="00B07FFE">
            <w:pPr>
              <w:pStyle w:val="TableParagraph"/>
              <w:spacing w:line="278" w:lineRule="auto"/>
              <w:ind w:left="68" w:right="196"/>
            </w:pPr>
            <w:r>
              <w:t>Urticaria, Eritema nodoso</w:t>
            </w:r>
          </w:p>
        </w:tc>
        <w:tc>
          <w:tcPr>
            <w:tcW w:w="1804" w:type="dxa"/>
          </w:tcPr>
          <w:p w14:paraId="6F804156" w14:textId="77777777" w:rsidR="00A92E6F" w:rsidRDefault="00B07FFE">
            <w:pPr>
              <w:pStyle w:val="TableParagraph"/>
              <w:spacing w:line="276" w:lineRule="auto"/>
              <w:ind w:left="67" w:right="674"/>
            </w:pPr>
            <w:r>
              <w:t>Hirsutismo, Acné</w:t>
            </w:r>
          </w:p>
        </w:tc>
        <w:tc>
          <w:tcPr>
            <w:tcW w:w="1705" w:type="dxa"/>
          </w:tcPr>
          <w:p w14:paraId="6F804157" w14:textId="77777777" w:rsidR="00A92E6F" w:rsidRDefault="00B07FFE">
            <w:pPr>
              <w:pStyle w:val="TableParagraph"/>
              <w:spacing w:line="247" w:lineRule="exact"/>
              <w:ind w:left="66"/>
            </w:pPr>
            <w:r>
              <w:t>Angioedema</w:t>
            </w:r>
          </w:p>
        </w:tc>
      </w:tr>
      <w:tr w:rsidR="00A92E6F" w14:paraId="6F80415F" w14:textId="77777777">
        <w:trPr>
          <w:trHeight w:val="1453"/>
        </w:trPr>
        <w:tc>
          <w:tcPr>
            <w:tcW w:w="1841" w:type="dxa"/>
          </w:tcPr>
          <w:p w14:paraId="6F804159" w14:textId="77777777" w:rsidR="00A92E6F" w:rsidRDefault="00B07FFE">
            <w:pPr>
              <w:pStyle w:val="TableParagraph"/>
              <w:spacing w:line="276" w:lineRule="auto"/>
              <w:ind w:left="69" w:right="43"/>
              <w:rPr>
                <w:b/>
              </w:rPr>
            </w:pPr>
            <w:r>
              <w:rPr>
                <w:b/>
              </w:rPr>
              <w:t>Trastornos musculoesquelétic os y del tejido conjuntivo</w:t>
            </w:r>
          </w:p>
        </w:tc>
        <w:tc>
          <w:tcPr>
            <w:tcW w:w="1357" w:type="dxa"/>
          </w:tcPr>
          <w:p w14:paraId="6F80415A" w14:textId="77777777" w:rsidR="00A92E6F" w:rsidRDefault="00A92E6F">
            <w:pPr>
              <w:pStyle w:val="TableParagraph"/>
            </w:pPr>
          </w:p>
        </w:tc>
        <w:tc>
          <w:tcPr>
            <w:tcW w:w="1323" w:type="dxa"/>
          </w:tcPr>
          <w:p w14:paraId="6F80415B" w14:textId="77777777" w:rsidR="00A92E6F" w:rsidRDefault="00B07FFE">
            <w:pPr>
              <w:pStyle w:val="TableParagraph"/>
              <w:tabs>
                <w:tab w:val="left" w:pos="1042"/>
              </w:tabs>
              <w:spacing w:line="276" w:lineRule="auto"/>
              <w:ind w:left="68" w:right="60"/>
            </w:pPr>
            <w:r>
              <w:t>Artralgia, Dolor</w:t>
            </w:r>
            <w:r>
              <w:tab/>
            </w:r>
            <w:r>
              <w:rPr>
                <w:spacing w:val="-9"/>
              </w:rPr>
              <w:t xml:space="preserve">de </w:t>
            </w:r>
            <w:r>
              <w:t>espalda,</w:t>
            </w:r>
          </w:p>
        </w:tc>
        <w:tc>
          <w:tcPr>
            <w:tcW w:w="1681" w:type="dxa"/>
          </w:tcPr>
          <w:p w14:paraId="6F80415C" w14:textId="77777777" w:rsidR="00A92E6F" w:rsidRDefault="00B07FFE">
            <w:pPr>
              <w:pStyle w:val="TableParagraph"/>
              <w:spacing w:line="247" w:lineRule="exact"/>
              <w:ind w:left="68"/>
            </w:pPr>
            <w:r>
              <w:t>Mialgia</w:t>
            </w:r>
          </w:p>
        </w:tc>
        <w:tc>
          <w:tcPr>
            <w:tcW w:w="1804" w:type="dxa"/>
          </w:tcPr>
          <w:p w14:paraId="6F80415D" w14:textId="77777777" w:rsidR="00A92E6F" w:rsidRDefault="00B07FFE">
            <w:pPr>
              <w:pStyle w:val="TableParagraph"/>
              <w:spacing w:line="276" w:lineRule="auto"/>
              <w:ind w:left="67" w:right="734"/>
              <w:jc w:val="both"/>
            </w:pPr>
            <w:r>
              <w:t>Miastenia, Calambres musculares</w:t>
            </w:r>
          </w:p>
        </w:tc>
        <w:tc>
          <w:tcPr>
            <w:tcW w:w="1705" w:type="dxa"/>
          </w:tcPr>
          <w:p w14:paraId="6F80415E" w14:textId="77777777" w:rsidR="00A92E6F" w:rsidRDefault="00A92E6F">
            <w:pPr>
              <w:pStyle w:val="TableParagraph"/>
            </w:pPr>
          </w:p>
        </w:tc>
      </w:tr>
      <w:tr w:rsidR="00A92E6F" w14:paraId="6F804167" w14:textId="77777777">
        <w:trPr>
          <w:trHeight w:val="4365"/>
        </w:trPr>
        <w:tc>
          <w:tcPr>
            <w:tcW w:w="1841" w:type="dxa"/>
          </w:tcPr>
          <w:p w14:paraId="6F804160" w14:textId="77777777" w:rsidR="00A92E6F" w:rsidRDefault="00B07FFE">
            <w:pPr>
              <w:pStyle w:val="TableParagraph"/>
              <w:tabs>
                <w:tab w:val="left" w:pos="1489"/>
              </w:tabs>
              <w:spacing w:before="1" w:line="276" w:lineRule="auto"/>
              <w:ind w:left="69" w:right="58"/>
              <w:rPr>
                <w:b/>
              </w:rPr>
            </w:pPr>
            <w:r>
              <w:rPr>
                <w:b/>
              </w:rPr>
              <w:t>Trastornos</w:t>
            </w:r>
            <w:r>
              <w:rPr>
                <w:b/>
              </w:rPr>
              <w:tab/>
            </w:r>
            <w:r>
              <w:rPr>
                <w:b/>
                <w:spacing w:val="-9"/>
              </w:rPr>
              <w:t xml:space="preserve">del </w:t>
            </w:r>
            <w:r>
              <w:rPr>
                <w:b/>
              </w:rPr>
              <w:t xml:space="preserve">aparato reproductor y </w:t>
            </w:r>
            <w:r>
              <w:rPr>
                <w:b/>
                <w:spacing w:val="-8"/>
              </w:rPr>
              <w:t xml:space="preserve">de </w:t>
            </w:r>
            <w:r>
              <w:rPr>
                <w:b/>
              </w:rPr>
              <w:t>la mama</w:t>
            </w:r>
          </w:p>
        </w:tc>
        <w:tc>
          <w:tcPr>
            <w:tcW w:w="1357" w:type="dxa"/>
          </w:tcPr>
          <w:p w14:paraId="6F804161" w14:textId="77777777" w:rsidR="00A92E6F" w:rsidRDefault="00B07FFE">
            <w:pPr>
              <w:pStyle w:val="TableParagraph"/>
              <w:spacing w:line="276" w:lineRule="auto"/>
              <w:ind w:left="66" w:right="149"/>
            </w:pPr>
            <w:r>
              <w:t>Alteraciones menstruales</w:t>
            </w:r>
          </w:p>
        </w:tc>
        <w:tc>
          <w:tcPr>
            <w:tcW w:w="1323" w:type="dxa"/>
          </w:tcPr>
          <w:p w14:paraId="6F804162" w14:textId="77777777" w:rsidR="00A92E6F" w:rsidRDefault="00B07FFE">
            <w:pPr>
              <w:pStyle w:val="TableParagraph"/>
              <w:spacing w:line="276" w:lineRule="auto"/>
              <w:ind w:left="68" w:right="64"/>
            </w:pPr>
            <w:r>
              <w:t>Metrorragia, Menorragia, Sangrados vaginales irregulares, Espasmos uterinos, Vaginitis, Hiperplasia endometrial, Sangrados vaginales/ute rinos incluidos</w:t>
            </w:r>
          </w:p>
          <w:p w14:paraId="6F804163" w14:textId="77777777" w:rsidR="00A92E6F" w:rsidRDefault="00B07FFE">
            <w:pPr>
              <w:pStyle w:val="TableParagraph"/>
              <w:ind w:left="68"/>
            </w:pPr>
            <w:r>
              <w:t>manchados</w:t>
            </w:r>
          </w:p>
        </w:tc>
        <w:tc>
          <w:tcPr>
            <w:tcW w:w="1681" w:type="dxa"/>
          </w:tcPr>
          <w:p w14:paraId="6F804164" w14:textId="77777777" w:rsidR="00A92E6F" w:rsidRDefault="00B07FFE">
            <w:pPr>
              <w:pStyle w:val="TableParagraph"/>
              <w:tabs>
                <w:tab w:val="left" w:pos="856"/>
                <w:tab w:val="left" w:pos="930"/>
                <w:tab w:val="left" w:pos="1339"/>
                <w:tab w:val="left" w:pos="1449"/>
              </w:tabs>
              <w:spacing w:line="276" w:lineRule="auto"/>
              <w:ind w:left="68" w:right="58"/>
            </w:pPr>
            <w:r>
              <w:t>Aumento</w:t>
            </w:r>
            <w:r>
              <w:tab/>
            </w:r>
            <w:r>
              <w:tab/>
            </w:r>
            <w:r>
              <w:rPr>
                <w:spacing w:val="-6"/>
              </w:rPr>
              <w:t xml:space="preserve">del </w:t>
            </w:r>
            <w:r>
              <w:t>tamaño</w:t>
            </w:r>
            <w:r>
              <w:tab/>
            </w:r>
            <w:r>
              <w:tab/>
              <w:t>de</w:t>
            </w:r>
            <w:r>
              <w:tab/>
            </w:r>
            <w:r>
              <w:rPr>
                <w:spacing w:val="-6"/>
              </w:rPr>
              <w:t xml:space="preserve">los </w:t>
            </w:r>
            <w:r>
              <w:t>pechos, Dismenorrea, Mastodinia, Dolor</w:t>
            </w:r>
            <w:r>
              <w:tab/>
              <w:t>con</w:t>
            </w:r>
            <w:r>
              <w:tab/>
            </w:r>
            <w:r>
              <w:tab/>
            </w:r>
            <w:r>
              <w:rPr>
                <w:spacing w:val="-8"/>
              </w:rPr>
              <w:t xml:space="preserve">la </w:t>
            </w:r>
            <w:r>
              <w:t xml:space="preserve">palpación de </w:t>
            </w:r>
            <w:r>
              <w:rPr>
                <w:spacing w:val="-7"/>
              </w:rPr>
              <w:t xml:space="preserve">la </w:t>
            </w:r>
            <w:r>
              <w:t>mama</w:t>
            </w:r>
          </w:p>
        </w:tc>
        <w:tc>
          <w:tcPr>
            <w:tcW w:w="1804" w:type="dxa"/>
          </w:tcPr>
          <w:p w14:paraId="6F804165" w14:textId="77777777" w:rsidR="00A92E6F" w:rsidRDefault="00B07FFE">
            <w:pPr>
              <w:pStyle w:val="TableParagraph"/>
              <w:tabs>
                <w:tab w:val="left" w:pos="995"/>
                <w:tab w:val="left" w:pos="1051"/>
                <w:tab w:val="left" w:pos="1372"/>
                <w:tab w:val="left" w:pos="1485"/>
                <w:tab w:val="left" w:pos="1521"/>
              </w:tabs>
              <w:spacing w:line="276" w:lineRule="auto"/>
              <w:ind w:left="67" w:right="61"/>
            </w:pPr>
            <w:r>
              <w:t>Leioma</w:t>
            </w:r>
            <w:r>
              <w:tab/>
            </w:r>
            <w:r>
              <w:tab/>
            </w:r>
            <w:r>
              <w:rPr>
                <w:spacing w:val="-3"/>
              </w:rPr>
              <w:t xml:space="preserve">uterino, </w:t>
            </w:r>
            <w:r>
              <w:t>Quistes paratubulares, Pólipos endocervicales, Dismenorrea, Leucorrea, Síndrome</w:t>
            </w:r>
            <w:r>
              <w:tab/>
            </w:r>
            <w:r>
              <w:tab/>
            </w:r>
            <w:r>
              <w:tab/>
            </w:r>
            <w:r>
              <w:rPr>
                <w:spacing w:val="-5"/>
              </w:rPr>
              <w:t xml:space="preserve">pre- </w:t>
            </w:r>
            <w:r>
              <w:t>menstrual, Aumento</w:t>
            </w:r>
            <w:r>
              <w:tab/>
            </w:r>
            <w:r>
              <w:tab/>
            </w:r>
            <w:r>
              <w:tab/>
            </w:r>
            <w:r>
              <w:tab/>
            </w:r>
            <w:r>
              <w:tab/>
            </w:r>
            <w:r>
              <w:rPr>
                <w:spacing w:val="-9"/>
              </w:rPr>
              <w:t xml:space="preserve">de </w:t>
            </w:r>
            <w:r>
              <w:t>tamaño</w:t>
            </w:r>
            <w:r>
              <w:tab/>
              <w:t>de</w:t>
            </w:r>
            <w:r>
              <w:tab/>
            </w:r>
            <w:r>
              <w:tab/>
            </w:r>
            <w:r>
              <w:rPr>
                <w:spacing w:val="-7"/>
              </w:rPr>
              <w:t xml:space="preserve">las </w:t>
            </w:r>
            <w:r>
              <w:t>mamas</w:t>
            </w:r>
          </w:p>
        </w:tc>
        <w:tc>
          <w:tcPr>
            <w:tcW w:w="1705" w:type="dxa"/>
          </w:tcPr>
          <w:p w14:paraId="6F804166" w14:textId="77777777" w:rsidR="00A92E6F" w:rsidRDefault="00A92E6F">
            <w:pPr>
              <w:pStyle w:val="TableParagraph"/>
            </w:pPr>
          </w:p>
        </w:tc>
      </w:tr>
    </w:tbl>
    <w:p w14:paraId="6F804168" w14:textId="77777777" w:rsidR="00A92E6F" w:rsidRDefault="00A92E6F">
      <w:pPr>
        <w:sectPr w:rsidR="00A92E6F">
          <w:pgSz w:w="11910" w:h="16840"/>
          <w:pgMar w:top="60" w:right="520" w:bottom="900" w:left="1060" w:header="0" w:footer="714" w:gutter="0"/>
          <w:cols w:space="720"/>
        </w:sectPr>
      </w:pPr>
    </w:p>
    <w:p w14:paraId="6F804169" w14:textId="7D91CFCF" w:rsidR="00A92E6F" w:rsidRDefault="00A92E6F">
      <w:pPr>
        <w:pStyle w:val="Textoindependiente"/>
        <w:rPr>
          <w:sz w:val="20"/>
        </w:rPr>
      </w:pPr>
    </w:p>
    <w:p w14:paraId="6F80416A" w14:textId="77777777" w:rsidR="00A92E6F" w:rsidRDefault="00A92E6F">
      <w:pPr>
        <w:pStyle w:val="Textoindependiente"/>
        <w:rPr>
          <w:sz w:val="20"/>
        </w:rPr>
      </w:pPr>
    </w:p>
    <w:p w14:paraId="6F80416B" w14:textId="77777777" w:rsidR="00A92E6F" w:rsidRDefault="00A92E6F">
      <w:pPr>
        <w:pStyle w:val="Textoindependiente"/>
        <w:rPr>
          <w:sz w:val="20"/>
        </w:rPr>
      </w:pPr>
    </w:p>
    <w:p w14:paraId="6F80416C" w14:textId="77777777" w:rsidR="00A92E6F" w:rsidRDefault="00A92E6F">
      <w:pPr>
        <w:pStyle w:val="Textoindependiente"/>
        <w:rPr>
          <w:sz w:val="20"/>
        </w:rPr>
      </w:pPr>
    </w:p>
    <w:p w14:paraId="6F80416D" w14:textId="77777777" w:rsidR="00A92E6F" w:rsidRDefault="00A92E6F">
      <w:pPr>
        <w:pStyle w:val="Textoindependiente"/>
        <w:spacing w:before="2"/>
        <w:rPr>
          <w:sz w:val="24"/>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1357"/>
        <w:gridCol w:w="1323"/>
        <w:gridCol w:w="1681"/>
        <w:gridCol w:w="1804"/>
        <w:gridCol w:w="1705"/>
      </w:tblGrid>
      <w:tr w:rsidR="00A92E6F" w14:paraId="6F804176" w14:textId="77777777">
        <w:trPr>
          <w:trHeight w:val="3782"/>
        </w:trPr>
        <w:tc>
          <w:tcPr>
            <w:tcW w:w="1841" w:type="dxa"/>
          </w:tcPr>
          <w:p w14:paraId="6F80416E" w14:textId="77777777" w:rsidR="00A92E6F" w:rsidRDefault="00B07FFE">
            <w:pPr>
              <w:pStyle w:val="TableParagraph"/>
              <w:tabs>
                <w:tab w:val="left" w:pos="1549"/>
                <w:tab w:val="left" w:pos="1659"/>
              </w:tabs>
              <w:spacing w:line="276" w:lineRule="auto"/>
              <w:ind w:left="69" w:right="58"/>
              <w:rPr>
                <w:b/>
              </w:rPr>
            </w:pPr>
            <w:r>
              <w:rPr>
                <w:b/>
              </w:rPr>
              <w:t>Trastornos generales</w:t>
            </w:r>
            <w:r>
              <w:rPr>
                <w:b/>
              </w:rPr>
              <w:tab/>
            </w:r>
            <w:r>
              <w:rPr>
                <w:b/>
              </w:rPr>
              <w:tab/>
            </w:r>
            <w:r>
              <w:rPr>
                <w:b/>
                <w:spacing w:val="-17"/>
              </w:rPr>
              <w:t xml:space="preserve">y </w:t>
            </w:r>
            <w:r>
              <w:rPr>
                <w:b/>
              </w:rPr>
              <w:t xml:space="preserve">alteraciones en </w:t>
            </w:r>
            <w:r>
              <w:rPr>
                <w:b/>
                <w:spacing w:val="-11"/>
              </w:rPr>
              <w:t xml:space="preserve">el </w:t>
            </w:r>
            <w:r>
              <w:rPr>
                <w:b/>
              </w:rPr>
              <w:t>lugar</w:t>
            </w:r>
            <w:r>
              <w:rPr>
                <w:b/>
              </w:rPr>
              <w:tab/>
            </w:r>
            <w:r>
              <w:rPr>
                <w:b/>
                <w:spacing w:val="-9"/>
              </w:rPr>
              <w:t>de</w:t>
            </w:r>
          </w:p>
          <w:p w14:paraId="6F80416F" w14:textId="77777777" w:rsidR="00A92E6F" w:rsidRDefault="00B07FFE">
            <w:pPr>
              <w:pStyle w:val="TableParagraph"/>
              <w:ind w:left="69"/>
              <w:rPr>
                <w:b/>
              </w:rPr>
            </w:pPr>
            <w:r>
              <w:rPr>
                <w:b/>
              </w:rPr>
              <w:t>administración</w:t>
            </w:r>
          </w:p>
        </w:tc>
        <w:tc>
          <w:tcPr>
            <w:tcW w:w="1357" w:type="dxa"/>
          </w:tcPr>
          <w:p w14:paraId="6F804170" w14:textId="77777777" w:rsidR="00A92E6F" w:rsidRDefault="00B07FFE">
            <w:pPr>
              <w:pStyle w:val="TableParagraph"/>
              <w:tabs>
                <w:tab w:val="left" w:pos="1078"/>
              </w:tabs>
              <w:spacing w:line="276" w:lineRule="auto"/>
              <w:ind w:left="66" w:right="59"/>
            </w:pPr>
            <w:r>
              <w:t xml:space="preserve">Prurito en </w:t>
            </w:r>
            <w:r>
              <w:rPr>
                <w:spacing w:val="-11"/>
              </w:rPr>
              <w:t xml:space="preserve">el </w:t>
            </w:r>
            <w:r>
              <w:t>lugar</w:t>
            </w:r>
            <w:r>
              <w:tab/>
            </w:r>
            <w:r>
              <w:rPr>
                <w:spacing w:val="-14"/>
              </w:rPr>
              <w:t xml:space="preserve">de </w:t>
            </w:r>
            <w:r>
              <w:t xml:space="preserve">aplicación*, Exantema </w:t>
            </w:r>
            <w:r>
              <w:rPr>
                <w:spacing w:val="-13"/>
              </w:rPr>
              <w:t xml:space="preserve">en </w:t>
            </w:r>
            <w:r>
              <w:t xml:space="preserve">el lugar </w:t>
            </w:r>
            <w:r>
              <w:rPr>
                <w:spacing w:val="-12"/>
              </w:rPr>
              <w:t xml:space="preserve">de </w:t>
            </w:r>
            <w:r>
              <w:t>aplicación*</w:t>
            </w:r>
          </w:p>
        </w:tc>
        <w:tc>
          <w:tcPr>
            <w:tcW w:w="1323" w:type="dxa"/>
          </w:tcPr>
          <w:p w14:paraId="6F804171" w14:textId="77777777" w:rsidR="00A92E6F" w:rsidRDefault="00B07FFE">
            <w:pPr>
              <w:pStyle w:val="TableParagraph"/>
              <w:tabs>
                <w:tab w:val="left" w:pos="1042"/>
              </w:tabs>
              <w:spacing w:line="276" w:lineRule="auto"/>
              <w:ind w:left="68" w:right="59"/>
            </w:pPr>
            <w:r>
              <w:t xml:space="preserve">Dolor, Eritema en </w:t>
            </w:r>
            <w:r>
              <w:rPr>
                <w:spacing w:val="-11"/>
              </w:rPr>
              <w:t xml:space="preserve">el </w:t>
            </w:r>
            <w:r>
              <w:t>lugar</w:t>
            </w:r>
            <w:r>
              <w:tab/>
            </w:r>
            <w:r>
              <w:rPr>
                <w:spacing w:val="-9"/>
              </w:rPr>
              <w:t xml:space="preserve">de </w:t>
            </w:r>
            <w:r>
              <w:t xml:space="preserve">aplicación*, Edema en </w:t>
            </w:r>
            <w:r>
              <w:rPr>
                <w:spacing w:val="-13"/>
              </w:rPr>
              <w:t xml:space="preserve">el </w:t>
            </w:r>
            <w:r>
              <w:t>lugar</w:t>
            </w:r>
            <w:r>
              <w:tab/>
            </w:r>
            <w:r>
              <w:rPr>
                <w:spacing w:val="-9"/>
              </w:rPr>
              <w:t xml:space="preserve">de </w:t>
            </w:r>
            <w:r>
              <w:t xml:space="preserve">aplicación*, Reacción </w:t>
            </w:r>
            <w:r>
              <w:rPr>
                <w:spacing w:val="-7"/>
              </w:rPr>
              <w:t xml:space="preserve">en </w:t>
            </w:r>
            <w:r>
              <w:t xml:space="preserve">el lugar </w:t>
            </w:r>
            <w:r>
              <w:rPr>
                <w:spacing w:val="-7"/>
              </w:rPr>
              <w:t xml:space="preserve">de </w:t>
            </w:r>
            <w:r>
              <w:t>aplicación, Astenia, variaciones</w:t>
            </w:r>
          </w:p>
          <w:p w14:paraId="6F804172" w14:textId="77777777" w:rsidR="00A92E6F" w:rsidRDefault="00B07FFE">
            <w:pPr>
              <w:pStyle w:val="TableParagraph"/>
              <w:spacing w:line="252" w:lineRule="exact"/>
              <w:ind w:left="68"/>
            </w:pPr>
            <w:r>
              <w:t>de peso</w:t>
            </w:r>
          </w:p>
        </w:tc>
        <w:tc>
          <w:tcPr>
            <w:tcW w:w="1681" w:type="dxa"/>
          </w:tcPr>
          <w:p w14:paraId="6F804173" w14:textId="77777777" w:rsidR="00A92E6F" w:rsidRDefault="00B07FFE">
            <w:pPr>
              <w:pStyle w:val="TableParagraph"/>
              <w:tabs>
                <w:tab w:val="left" w:pos="996"/>
              </w:tabs>
              <w:spacing w:line="276" w:lineRule="auto"/>
              <w:ind w:left="68" w:right="63"/>
            </w:pPr>
            <w:r>
              <w:t>Edema,</w:t>
            </w:r>
            <w:r>
              <w:tab/>
            </w:r>
            <w:r>
              <w:rPr>
                <w:spacing w:val="-6"/>
              </w:rPr>
              <w:t xml:space="preserve">Edema </w:t>
            </w:r>
            <w:r>
              <w:t>generalizado, Edema</w:t>
            </w:r>
            <w:r>
              <w:rPr>
                <w:spacing w:val="-2"/>
              </w:rPr>
              <w:t xml:space="preserve"> </w:t>
            </w:r>
            <w:r>
              <w:t>periférico</w:t>
            </w:r>
          </w:p>
        </w:tc>
        <w:tc>
          <w:tcPr>
            <w:tcW w:w="1804" w:type="dxa"/>
          </w:tcPr>
          <w:p w14:paraId="6F804174" w14:textId="77777777" w:rsidR="00A92E6F" w:rsidRDefault="00B07FFE">
            <w:pPr>
              <w:pStyle w:val="TableParagraph"/>
              <w:spacing w:line="247" w:lineRule="exact"/>
              <w:ind w:left="67"/>
            </w:pPr>
            <w:r>
              <w:t>Fatiga</w:t>
            </w:r>
          </w:p>
        </w:tc>
        <w:tc>
          <w:tcPr>
            <w:tcW w:w="1705" w:type="dxa"/>
          </w:tcPr>
          <w:p w14:paraId="6F804175" w14:textId="77777777" w:rsidR="00A92E6F" w:rsidRDefault="00A92E6F">
            <w:pPr>
              <w:pStyle w:val="TableParagraph"/>
              <w:rPr>
                <w:sz w:val="20"/>
              </w:rPr>
            </w:pPr>
          </w:p>
        </w:tc>
      </w:tr>
      <w:tr w:rsidR="00A92E6F" w14:paraId="6F80417F" w14:textId="77777777">
        <w:trPr>
          <w:trHeight w:val="580"/>
        </w:trPr>
        <w:tc>
          <w:tcPr>
            <w:tcW w:w="1841" w:type="dxa"/>
          </w:tcPr>
          <w:p w14:paraId="6F804177" w14:textId="77777777" w:rsidR="00A92E6F" w:rsidRDefault="00B07FFE">
            <w:pPr>
              <w:pStyle w:val="TableParagraph"/>
              <w:spacing w:line="251" w:lineRule="exact"/>
              <w:ind w:left="69"/>
              <w:rPr>
                <w:b/>
              </w:rPr>
            </w:pPr>
            <w:r>
              <w:rPr>
                <w:b/>
              </w:rPr>
              <w:t>Exploraciones</w:t>
            </w:r>
          </w:p>
          <w:p w14:paraId="6F804178" w14:textId="77777777" w:rsidR="00A92E6F" w:rsidRDefault="00B07FFE">
            <w:pPr>
              <w:pStyle w:val="TableParagraph"/>
              <w:spacing w:before="37"/>
              <w:ind w:left="69"/>
              <w:rPr>
                <w:b/>
              </w:rPr>
            </w:pPr>
            <w:r>
              <w:rPr>
                <w:b/>
              </w:rPr>
              <w:t>complementarias</w:t>
            </w:r>
          </w:p>
        </w:tc>
        <w:tc>
          <w:tcPr>
            <w:tcW w:w="1357" w:type="dxa"/>
          </w:tcPr>
          <w:p w14:paraId="6F804179" w14:textId="77777777" w:rsidR="00A92E6F" w:rsidRDefault="00A92E6F">
            <w:pPr>
              <w:pStyle w:val="TableParagraph"/>
              <w:rPr>
                <w:sz w:val="20"/>
              </w:rPr>
            </w:pPr>
          </w:p>
        </w:tc>
        <w:tc>
          <w:tcPr>
            <w:tcW w:w="1323" w:type="dxa"/>
          </w:tcPr>
          <w:p w14:paraId="6F80417A" w14:textId="77777777" w:rsidR="00A92E6F" w:rsidRDefault="00B07FFE">
            <w:pPr>
              <w:pStyle w:val="TableParagraph"/>
              <w:spacing w:line="247" w:lineRule="exact"/>
              <w:ind w:left="68"/>
            </w:pPr>
            <w:r>
              <w:t>Aumento de</w:t>
            </w:r>
          </w:p>
          <w:p w14:paraId="6F80417B" w14:textId="77777777" w:rsidR="00A92E6F" w:rsidRDefault="00B07FFE">
            <w:pPr>
              <w:pStyle w:val="TableParagraph"/>
              <w:spacing w:before="37"/>
              <w:ind w:left="68"/>
            </w:pPr>
            <w:r>
              <w:t>peso</w:t>
            </w:r>
          </w:p>
        </w:tc>
        <w:tc>
          <w:tcPr>
            <w:tcW w:w="1681" w:type="dxa"/>
          </w:tcPr>
          <w:p w14:paraId="6F80417C" w14:textId="77777777" w:rsidR="00A92E6F" w:rsidRDefault="00A92E6F">
            <w:pPr>
              <w:pStyle w:val="TableParagraph"/>
              <w:rPr>
                <w:sz w:val="20"/>
              </w:rPr>
            </w:pPr>
          </w:p>
        </w:tc>
        <w:tc>
          <w:tcPr>
            <w:tcW w:w="1804" w:type="dxa"/>
          </w:tcPr>
          <w:p w14:paraId="6F80417D" w14:textId="77777777" w:rsidR="00A92E6F" w:rsidRDefault="00A92E6F">
            <w:pPr>
              <w:pStyle w:val="TableParagraph"/>
              <w:rPr>
                <w:sz w:val="20"/>
              </w:rPr>
            </w:pPr>
          </w:p>
        </w:tc>
        <w:tc>
          <w:tcPr>
            <w:tcW w:w="1705" w:type="dxa"/>
          </w:tcPr>
          <w:p w14:paraId="6F80417E" w14:textId="77777777" w:rsidR="00A92E6F" w:rsidRDefault="00A92E6F">
            <w:pPr>
              <w:pStyle w:val="TableParagraph"/>
              <w:rPr>
                <w:sz w:val="20"/>
              </w:rPr>
            </w:pPr>
          </w:p>
        </w:tc>
      </w:tr>
      <w:tr w:rsidR="00A92E6F" w14:paraId="6F804188" w14:textId="77777777">
        <w:trPr>
          <w:trHeight w:val="582"/>
        </w:trPr>
        <w:tc>
          <w:tcPr>
            <w:tcW w:w="1841" w:type="dxa"/>
          </w:tcPr>
          <w:p w14:paraId="6F804180" w14:textId="77777777" w:rsidR="00A92E6F" w:rsidRDefault="00B07FFE">
            <w:pPr>
              <w:pStyle w:val="TableParagraph"/>
              <w:tabs>
                <w:tab w:val="left" w:pos="1549"/>
              </w:tabs>
              <w:spacing w:line="251" w:lineRule="exact"/>
              <w:ind w:left="69"/>
              <w:rPr>
                <w:b/>
              </w:rPr>
            </w:pPr>
            <w:r>
              <w:rPr>
                <w:b/>
              </w:rPr>
              <w:t>Anomalías</w:t>
            </w:r>
            <w:r>
              <w:rPr>
                <w:b/>
              </w:rPr>
              <w:tab/>
              <w:t>de</w:t>
            </w:r>
          </w:p>
          <w:p w14:paraId="6F804181" w14:textId="77777777" w:rsidR="00A92E6F" w:rsidRDefault="00B07FFE">
            <w:pPr>
              <w:pStyle w:val="TableParagraph"/>
              <w:spacing w:before="40"/>
              <w:ind w:left="69"/>
              <w:rPr>
                <w:b/>
              </w:rPr>
            </w:pPr>
            <w:r>
              <w:rPr>
                <w:b/>
              </w:rPr>
              <w:t>laboratorio</w:t>
            </w:r>
          </w:p>
        </w:tc>
        <w:tc>
          <w:tcPr>
            <w:tcW w:w="1357" w:type="dxa"/>
          </w:tcPr>
          <w:p w14:paraId="6F804182" w14:textId="77777777" w:rsidR="00A92E6F" w:rsidRDefault="00A92E6F">
            <w:pPr>
              <w:pStyle w:val="TableParagraph"/>
              <w:rPr>
                <w:sz w:val="20"/>
              </w:rPr>
            </w:pPr>
          </w:p>
        </w:tc>
        <w:tc>
          <w:tcPr>
            <w:tcW w:w="1323" w:type="dxa"/>
          </w:tcPr>
          <w:p w14:paraId="6F804183" w14:textId="77777777" w:rsidR="00A92E6F" w:rsidRDefault="00A92E6F">
            <w:pPr>
              <w:pStyle w:val="TableParagraph"/>
              <w:rPr>
                <w:sz w:val="20"/>
              </w:rPr>
            </w:pPr>
          </w:p>
        </w:tc>
        <w:tc>
          <w:tcPr>
            <w:tcW w:w="1681" w:type="dxa"/>
          </w:tcPr>
          <w:p w14:paraId="6F804184" w14:textId="77777777" w:rsidR="00A92E6F" w:rsidRDefault="00B07FFE">
            <w:pPr>
              <w:pStyle w:val="TableParagraph"/>
              <w:spacing w:line="247" w:lineRule="exact"/>
              <w:ind w:left="68"/>
            </w:pPr>
            <w:r>
              <w:t>Aumento de las</w:t>
            </w:r>
          </w:p>
          <w:p w14:paraId="6F804185" w14:textId="77777777" w:rsidR="00A92E6F" w:rsidRDefault="00B07FFE">
            <w:pPr>
              <w:pStyle w:val="TableParagraph"/>
              <w:spacing w:before="40"/>
              <w:ind w:left="68"/>
            </w:pPr>
            <w:r>
              <w:t>transaminasas</w:t>
            </w:r>
          </w:p>
        </w:tc>
        <w:tc>
          <w:tcPr>
            <w:tcW w:w="1804" w:type="dxa"/>
          </w:tcPr>
          <w:p w14:paraId="6F804186" w14:textId="77777777" w:rsidR="00A92E6F" w:rsidRDefault="00A92E6F">
            <w:pPr>
              <w:pStyle w:val="TableParagraph"/>
              <w:rPr>
                <w:sz w:val="20"/>
              </w:rPr>
            </w:pPr>
          </w:p>
        </w:tc>
        <w:tc>
          <w:tcPr>
            <w:tcW w:w="1705" w:type="dxa"/>
          </w:tcPr>
          <w:p w14:paraId="6F804187" w14:textId="77777777" w:rsidR="00A92E6F" w:rsidRDefault="00A92E6F">
            <w:pPr>
              <w:pStyle w:val="TableParagraph"/>
              <w:rPr>
                <w:sz w:val="20"/>
              </w:rPr>
            </w:pPr>
          </w:p>
        </w:tc>
      </w:tr>
    </w:tbl>
    <w:p w14:paraId="6F804189" w14:textId="77777777" w:rsidR="00A92E6F" w:rsidRDefault="00B07FFE">
      <w:pPr>
        <w:pStyle w:val="Textoindependiente"/>
        <w:spacing w:line="247" w:lineRule="exact"/>
        <w:ind w:left="577"/>
      </w:pPr>
      <w:r>
        <w:t>* Signos/síntomas solicitados (recogidos como si/no) en 8 ensayos clínicos con EVOPAD.</w:t>
      </w:r>
    </w:p>
    <w:p w14:paraId="6F80418A" w14:textId="77777777" w:rsidR="00A92E6F" w:rsidRDefault="00B07FFE">
      <w:pPr>
        <w:spacing w:before="40"/>
        <w:ind w:left="577"/>
        <w:rPr>
          <w:sz w:val="16"/>
        </w:rPr>
      </w:pPr>
      <w:r>
        <w:rPr>
          <w:sz w:val="16"/>
        </w:rPr>
        <w:t>Se ha utilizado el término MedDRA más apropiado para describir cada reacción y los sinónimos y condiciones asociadas.</w:t>
      </w:r>
    </w:p>
    <w:p w14:paraId="6F80418B" w14:textId="77777777" w:rsidR="00A92E6F" w:rsidRDefault="00A92E6F">
      <w:pPr>
        <w:pStyle w:val="Textoindependiente"/>
        <w:rPr>
          <w:sz w:val="18"/>
        </w:rPr>
      </w:pPr>
    </w:p>
    <w:p w14:paraId="6F80418C" w14:textId="77777777" w:rsidR="00A92E6F" w:rsidRDefault="00B07FFE">
      <w:pPr>
        <w:pStyle w:val="Ttulo1"/>
        <w:spacing w:before="115"/>
      </w:pPr>
      <w:r>
        <w:rPr>
          <w:u w:val="thick"/>
        </w:rPr>
        <w:t>Riesgo de cáncer de mama</w:t>
      </w:r>
    </w:p>
    <w:p w14:paraId="6F80418D" w14:textId="77777777" w:rsidR="00A92E6F" w:rsidRDefault="00A92E6F">
      <w:pPr>
        <w:pStyle w:val="Textoindependiente"/>
        <w:spacing w:before="1"/>
        <w:rPr>
          <w:b/>
          <w:sz w:val="20"/>
        </w:rPr>
      </w:pPr>
    </w:p>
    <w:p w14:paraId="6F80418E" w14:textId="77777777" w:rsidR="00A92E6F" w:rsidRDefault="00B07FFE">
      <w:pPr>
        <w:pStyle w:val="Prrafodelista"/>
        <w:numPr>
          <w:ilvl w:val="0"/>
          <w:numId w:val="3"/>
        </w:numPr>
        <w:tabs>
          <w:tab w:val="left" w:pos="783"/>
          <w:tab w:val="left" w:pos="784"/>
        </w:tabs>
        <w:spacing w:before="103" w:line="225" w:lineRule="auto"/>
        <w:ind w:left="783" w:right="616" w:hanging="566"/>
      </w:pPr>
      <w:r>
        <w:t>Se ha notificado un aumento del riesgo de tener un diagnóstico de cáncer de mama de hasta 2 veces en mujeres que toman tratamiento combinado estrógeno progestágeno durante más de 5</w:t>
      </w:r>
      <w:r>
        <w:rPr>
          <w:spacing w:val="-12"/>
        </w:rPr>
        <w:t xml:space="preserve"> </w:t>
      </w:r>
      <w:r>
        <w:t>años.</w:t>
      </w:r>
    </w:p>
    <w:p w14:paraId="6F80418F" w14:textId="77777777" w:rsidR="00A92E6F" w:rsidRDefault="00A92E6F">
      <w:pPr>
        <w:pStyle w:val="Textoindependiente"/>
        <w:spacing w:before="10"/>
        <w:rPr>
          <w:sz w:val="25"/>
        </w:rPr>
      </w:pPr>
    </w:p>
    <w:p w14:paraId="6F804190" w14:textId="1D837F32" w:rsidR="00A92E6F" w:rsidRDefault="00B07FFE">
      <w:pPr>
        <w:pStyle w:val="Prrafodelista"/>
        <w:numPr>
          <w:ilvl w:val="0"/>
          <w:numId w:val="3"/>
        </w:numPr>
        <w:tabs>
          <w:tab w:val="left" w:pos="784"/>
        </w:tabs>
        <w:spacing w:line="232" w:lineRule="auto"/>
        <w:ind w:left="783" w:right="614" w:hanging="566"/>
        <w:jc w:val="both"/>
      </w:pPr>
      <w:r>
        <w:t xml:space="preserve">El aumento del riesgo en </w:t>
      </w:r>
      <w:r w:rsidR="000D5DB7">
        <w:t xml:space="preserve">mujeres </w:t>
      </w:r>
      <w:r>
        <w:t xml:space="preserve">que </w:t>
      </w:r>
      <w:r w:rsidR="000D5DB7">
        <w:t>reciban tratamiento</w:t>
      </w:r>
      <w:r>
        <w:t xml:space="preserve"> </w:t>
      </w:r>
      <w:r w:rsidR="00062BB8">
        <w:t>con</w:t>
      </w:r>
      <w:r>
        <w:t xml:space="preserve"> sólo estrógenos es </w:t>
      </w:r>
      <w:r w:rsidR="00062BB8">
        <w:t>menor</w:t>
      </w:r>
      <w:r>
        <w:t xml:space="preserve"> que el observado en </w:t>
      </w:r>
      <w:r w:rsidR="00062BB8">
        <w:t>mujeres</w:t>
      </w:r>
      <w:r>
        <w:t xml:space="preserve"> que </w:t>
      </w:r>
      <w:r w:rsidR="005D30F6">
        <w:t>reciban</w:t>
      </w:r>
      <w:r>
        <w:t xml:space="preserve"> estrógeno</w:t>
      </w:r>
      <w:r w:rsidR="005D30F6">
        <w:t>s-</w:t>
      </w:r>
      <w:r>
        <w:t xml:space="preserve"> progestágeno</w:t>
      </w:r>
      <w:r w:rsidR="005D30F6">
        <w:t>s combinados</w:t>
      </w:r>
      <w:r>
        <w:t>.</w:t>
      </w:r>
    </w:p>
    <w:p w14:paraId="6F804191" w14:textId="77777777" w:rsidR="00A92E6F" w:rsidRDefault="00A92E6F">
      <w:pPr>
        <w:pStyle w:val="Textoindependiente"/>
        <w:spacing w:before="4"/>
        <w:rPr>
          <w:sz w:val="25"/>
        </w:rPr>
      </w:pPr>
    </w:p>
    <w:p w14:paraId="6F804192" w14:textId="77777777" w:rsidR="00A92E6F" w:rsidRDefault="00B07FFE">
      <w:pPr>
        <w:pStyle w:val="Prrafodelista"/>
        <w:numPr>
          <w:ilvl w:val="0"/>
          <w:numId w:val="3"/>
        </w:numPr>
        <w:tabs>
          <w:tab w:val="left" w:pos="783"/>
          <w:tab w:val="left" w:pos="784"/>
        </w:tabs>
        <w:ind w:left="783" w:hanging="566"/>
      </w:pPr>
      <w:r>
        <w:t>El nivel del riesgo depende de la duración de uso (ver sección</w:t>
      </w:r>
      <w:r>
        <w:rPr>
          <w:spacing w:val="-12"/>
        </w:rPr>
        <w:t xml:space="preserve"> </w:t>
      </w:r>
      <w:r>
        <w:t>4.4).</w:t>
      </w:r>
    </w:p>
    <w:p w14:paraId="6F804193" w14:textId="77777777" w:rsidR="00A92E6F" w:rsidRDefault="00A92E6F">
      <w:pPr>
        <w:pStyle w:val="Textoindependiente"/>
        <w:spacing w:before="6"/>
        <w:rPr>
          <w:sz w:val="24"/>
        </w:rPr>
      </w:pPr>
    </w:p>
    <w:p w14:paraId="6F804194" w14:textId="130B3EA6" w:rsidR="00A92E6F" w:rsidRDefault="00AF1629">
      <w:pPr>
        <w:pStyle w:val="Prrafodelista"/>
        <w:numPr>
          <w:ilvl w:val="0"/>
          <w:numId w:val="3"/>
        </w:numPr>
        <w:tabs>
          <w:tab w:val="left" w:pos="783"/>
          <w:tab w:val="left" w:pos="784"/>
        </w:tabs>
        <w:spacing w:line="225" w:lineRule="auto"/>
        <w:ind w:left="783" w:right="615" w:hanging="566"/>
      </w:pPr>
      <w:r>
        <w:t xml:space="preserve">Se presentan las estimaciones de los cálculos del riesgo absoluto basados en </w:t>
      </w:r>
      <w:r w:rsidR="00B07FFE">
        <w:t>resultados del</w:t>
      </w:r>
      <w:r w:rsidR="008F0C54">
        <w:t xml:space="preserve"> mayor</w:t>
      </w:r>
      <w:r w:rsidR="00B07FFE">
        <w:t xml:space="preserve"> ensayo </w:t>
      </w:r>
      <w:r w:rsidR="008F0C54">
        <w:t>aleatorizado y</w:t>
      </w:r>
      <w:r w:rsidR="00B07FFE">
        <w:t xml:space="preserve"> controlado con placebo (estudio WHI) y el </w:t>
      </w:r>
      <w:r w:rsidR="000F2040">
        <w:t xml:space="preserve">mayor metaanálisis de </w:t>
      </w:r>
      <w:r w:rsidR="00B07FFE">
        <w:t>estudio</w:t>
      </w:r>
      <w:r w:rsidR="000F2040">
        <w:t>s prospectivos</w:t>
      </w:r>
      <w:r w:rsidR="00B07FFE">
        <w:t xml:space="preserve"> epidemiológico</w:t>
      </w:r>
      <w:r w:rsidR="000F2040">
        <w:t>s.</w:t>
      </w:r>
    </w:p>
    <w:p w14:paraId="6F804195" w14:textId="77777777" w:rsidR="00A92E6F" w:rsidRDefault="00A92E6F">
      <w:pPr>
        <w:pStyle w:val="Textoindependiente"/>
        <w:spacing w:before="10"/>
        <w:rPr>
          <w:sz w:val="25"/>
        </w:rPr>
      </w:pPr>
    </w:p>
    <w:p w14:paraId="6F804196" w14:textId="11D795D1" w:rsidR="00A92E6F" w:rsidRPr="0045059D" w:rsidRDefault="00B07FFE">
      <w:pPr>
        <w:spacing w:before="1"/>
        <w:ind w:left="217"/>
        <w:rPr>
          <w:b/>
        </w:rPr>
      </w:pPr>
      <w:r w:rsidRPr="0045059D">
        <w:rPr>
          <w:b/>
        </w:rPr>
        <w:t>E</w:t>
      </w:r>
      <w:r w:rsidR="00F13A74" w:rsidRPr="0045059D">
        <w:rPr>
          <w:b/>
        </w:rPr>
        <w:t xml:space="preserve">l mayor metaanálisis de estudios epidemiológicos prospectivos </w:t>
      </w:r>
      <w:r w:rsidRPr="0045059D">
        <w:rPr>
          <w:b/>
        </w:rPr>
        <w:t xml:space="preserve">–Riesgo adicional </w:t>
      </w:r>
      <w:r w:rsidRPr="0045059D">
        <w:rPr>
          <w:b/>
          <w:u w:val="single"/>
        </w:rPr>
        <w:t>estimado</w:t>
      </w:r>
      <w:r w:rsidRPr="0045059D">
        <w:rPr>
          <w:b/>
        </w:rPr>
        <w:t xml:space="preserve"> de cáncer de mama </w:t>
      </w:r>
      <w:r w:rsidR="00F21A48" w:rsidRPr="0045059D">
        <w:rPr>
          <w:b/>
        </w:rPr>
        <w:t>tras</w:t>
      </w:r>
      <w:r w:rsidRPr="0045059D">
        <w:rPr>
          <w:b/>
        </w:rPr>
        <w:t xml:space="preserve"> 5 años de uso</w:t>
      </w:r>
      <w:r w:rsidR="00F21A48" w:rsidRPr="0045059D">
        <w:rPr>
          <w:b/>
        </w:rPr>
        <w:t xml:space="preserve"> en mujeres con un IMC de 27 (kg/m</w:t>
      </w:r>
      <w:r w:rsidR="00F21A48" w:rsidRPr="0045059D">
        <w:rPr>
          <w:b/>
          <w:vertAlign w:val="superscript"/>
        </w:rPr>
        <w:t>2</w:t>
      </w:r>
      <w:r w:rsidR="00F21A48" w:rsidRPr="0045059D">
        <w:rPr>
          <w:b/>
        </w:rPr>
        <w:t>)</w:t>
      </w:r>
    </w:p>
    <w:p w14:paraId="6F804197" w14:textId="77777777" w:rsidR="00A92E6F" w:rsidRDefault="00A92E6F">
      <w:pPr>
        <w:pStyle w:val="Textoindependiente"/>
        <w:spacing w:after="1"/>
        <w:rPr>
          <w:b/>
          <w:sz w:val="2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3969"/>
        <w:gridCol w:w="1418"/>
        <w:gridCol w:w="2878"/>
      </w:tblGrid>
      <w:tr w:rsidR="004A3990" w14:paraId="6F8041A0" w14:textId="77777777" w:rsidTr="0045059D">
        <w:trPr>
          <w:trHeight w:val="1042"/>
        </w:trPr>
        <w:tc>
          <w:tcPr>
            <w:tcW w:w="1026" w:type="dxa"/>
          </w:tcPr>
          <w:p w14:paraId="6F80419A" w14:textId="4E4F9821" w:rsidR="004A3990" w:rsidRDefault="004A3990">
            <w:pPr>
              <w:pStyle w:val="TableParagraph"/>
              <w:spacing w:line="247" w:lineRule="exact"/>
            </w:pPr>
            <w:r>
              <w:t>Edad al comienzo de la THS (años)</w:t>
            </w:r>
          </w:p>
        </w:tc>
        <w:tc>
          <w:tcPr>
            <w:tcW w:w="3969" w:type="dxa"/>
          </w:tcPr>
          <w:p w14:paraId="6F80419C" w14:textId="1C2B686C" w:rsidR="004A3990" w:rsidRDefault="004A3990" w:rsidP="0045059D">
            <w:pPr>
              <w:pStyle w:val="TableParagraph"/>
              <w:spacing w:line="276" w:lineRule="auto"/>
              <w:ind w:left="157" w:right="149" w:hanging="1"/>
              <w:jc w:val="center"/>
            </w:pPr>
            <w:r>
              <w:t xml:space="preserve">Incidencia por cada 1.000 </w:t>
            </w:r>
            <w:r w:rsidR="008B11DA">
              <w:t>mujeres que no hayan usado nunca</w:t>
            </w:r>
            <w:r>
              <w:t xml:space="preserve"> THS durante un período de 5</w:t>
            </w:r>
            <w:r w:rsidR="00153206">
              <w:t xml:space="preserve"> a</w:t>
            </w:r>
            <w:r>
              <w:t>ños</w:t>
            </w:r>
            <w:r w:rsidR="00C47322">
              <w:t xml:space="preserve"> (50-54 años)</w:t>
            </w:r>
            <w:r>
              <w:t>*</w:t>
            </w:r>
          </w:p>
        </w:tc>
        <w:tc>
          <w:tcPr>
            <w:tcW w:w="1418" w:type="dxa"/>
          </w:tcPr>
          <w:p w14:paraId="6F80419D" w14:textId="3AF458FB" w:rsidR="004A3990" w:rsidRDefault="00C47322">
            <w:pPr>
              <w:pStyle w:val="TableParagraph"/>
              <w:spacing w:line="247" w:lineRule="exact"/>
              <w:ind w:left="186"/>
            </w:pPr>
            <w:r>
              <w:t>R</w:t>
            </w:r>
            <w:r w:rsidR="004A3990">
              <w:t>iesgo</w:t>
            </w:r>
            <w:r>
              <w:t xml:space="preserve"> Relativo</w:t>
            </w:r>
          </w:p>
        </w:tc>
        <w:tc>
          <w:tcPr>
            <w:tcW w:w="2878" w:type="dxa"/>
          </w:tcPr>
          <w:p w14:paraId="6F80419F" w14:textId="57A86A9E" w:rsidR="004A3990" w:rsidRDefault="004A3990" w:rsidP="0045059D">
            <w:pPr>
              <w:pStyle w:val="TableParagraph"/>
              <w:spacing w:line="276" w:lineRule="auto"/>
              <w:ind w:left="199" w:right="193"/>
              <w:jc w:val="center"/>
            </w:pPr>
            <w:r>
              <w:t xml:space="preserve">Casos adicionales por cada 1.000 </w:t>
            </w:r>
            <w:r w:rsidR="00F77E41">
              <w:t>mujeres que toman</w:t>
            </w:r>
            <w:r>
              <w:t xml:space="preserve"> THS d</w:t>
            </w:r>
            <w:r w:rsidR="00F77E41">
              <w:t>espués</w:t>
            </w:r>
            <w:r>
              <w:t xml:space="preserve"> de 5</w:t>
            </w:r>
            <w:r w:rsidR="00F77E41">
              <w:t xml:space="preserve"> </w:t>
            </w:r>
            <w:r>
              <w:t>años</w:t>
            </w:r>
          </w:p>
        </w:tc>
      </w:tr>
      <w:tr w:rsidR="00A92E6F" w14:paraId="6F8041A4" w14:textId="77777777" w:rsidTr="0045059D">
        <w:trPr>
          <w:trHeight w:val="290"/>
        </w:trPr>
        <w:tc>
          <w:tcPr>
            <w:tcW w:w="1026" w:type="dxa"/>
            <w:shd w:val="clear" w:color="auto" w:fill="BFBFBF" w:themeFill="background1" w:themeFillShade="BF"/>
          </w:tcPr>
          <w:p w14:paraId="6F8041A1" w14:textId="77777777" w:rsidR="00A92E6F" w:rsidRDefault="00A92E6F">
            <w:pPr>
              <w:pStyle w:val="TableParagraph"/>
              <w:rPr>
                <w:sz w:val="20"/>
              </w:rPr>
            </w:pPr>
          </w:p>
        </w:tc>
        <w:tc>
          <w:tcPr>
            <w:tcW w:w="3969" w:type="dxa"/>
            <w:shd w:val="clear" w:color="auto" w:fill="BFBFBF" w:themeFill="background1" w:themeFillShade="BF"/>
          </w:tcPr>
          <w:p w14:paraId="6F8041A2" w14:textId="77777777" w:rsidR="00A92E6F" w:rsidRDefault="00A92E6F">
            <w:pPr>
              <w:pStyle w:val="TableParagraph"/>
              <w:rPr>
                <w:sz w:val="20"/>
              </w:rPr>
            </w:pPr>
          </w:p>
        </w:tc>
        <w:tc>
          <w:tcPr>
            <w:tcW w:w="4296" w:type="dxa"/>
            <w:gridSpan w:val="2"/>
            <w:shd w:val="clear" w:color="auto" w:fill="BFBFBF" w:themeFill="background1" w:themeFillShade="BF"/>
          </w:tcPr>
          <w:p w14:paraId="6F8041A3" w14:textId="224FA16E" w:rsidR="00A92E6F" w:rsidRDefault="00B07FFE">
            <w:pPr>
              <w:pStyle w:val="TableParagraph"/>
              <w:spacing w:line="251" w:lineRule="exact"/>
              <w:ind w:left="104"/>
              <w:rPr>
                <w:b/>
              </w:rPr>
            </w:pPr>
            <w:r>
              <w:rPr>
                <w:b/>
              </w:rPr>
              <w:t xml:space="preserve">TSH </w:t>
            </w:r>
            <w:r w:rsidR="005C7749">
              <w:rPr>
                <w:b/>
              </w:rPr>
              <w:t xml:space="preserve">con </w:t>
            </w:r>
            <w:r>
              <w:rPr>
                <w:b/>
              </w:rPr>
              <w:t>estrógeno</w:t>
            </w:r>
            <w:r w:rsidR="005C7749">
              <w:rPr>
                <w:b/>
              </w:rPr>
              <w:t>s sólo</w:t>
            </w:r>
          </w:p>
        </w:tc>
      </w:tr>
      <w:tr w:rsidR="00A92E6F" w14:paraId="6F8041A9" w14:textId="77777777" w:rsidTr="0045059D">
        <w:trPr>
          <w:trHeight w:val="292"/>
        </w:trPr>
        <w:tc>
          <w:tcPr>
            <w:tcW w:w="1026" w:type="dxa"/>
          </w:tcPr>
          <w:p w14:paraId="6F8041A5" w14:textId="63F0BE6B" w:rsidR="00A92E6F" w:rsidRDefault="00B07FFE">
            <w:pPr>
              <w:pStyle w:val="TableParagraph"/>
              <w:spacing w:line="247" w:lineRule="exact"/>
              <w:ind w:left="108"/>
            </w:pPr>
            <w:r>
              <w:t>50</w:t>
            </w:r>
          </w:p>
        </w:tc>
        <w:tc>
          <w:tcPr>
            <w:tcW w:w="3969" w:type="dxa"/>
          </w:tcPr>
          <w:p w14:paraId="6F8041A6" w14:textId="25C5F753" w:rsidR="00A92E6F" w:rsidRDefault="00825539">
            <w:pPr>
              <w:pStyle w:val="TableParagraph"/>
              <w:spacing w:line="247" w:lineRule="exact"/>
              <w:ind w:left="106"/>
            </w:pPr>
            <w:r>
              <w:t>13,3</w:t>
            </w:r>
          </w:p>
        </w:tc>
        <w:tc>
          <w:tcPr>
            <w:tcW w:w="1418" w:type="dxa"/>
          </w:tcPr>
          <w:p w14:paraId="6F8041A7" w14:textId="77777777" w:rsidR="00A92E6F" w:rsidRDefault="00B07FFE">
            <w:pPr>
              <w:pStyle w:val="TableParagraph"/>
              <w:spacing w:line="247" w:lineRule="exact"/>
              <w:ind w:left="104"/>
            </w:pPr>
            <w:r>
              <w:t>1,2</w:t>
            </w:r>
          </w:p>
        </w:tc>
        <w:tc>
          <w:tcPr>
            <w:tcW w:w="2878" w:type="dxa"/>
          </w:tcPr>
          <w:p w14:paraId="6F8041A8" w14:textId="36ADE692" w:rsidR="00A92E6F" w:rsidRDefault="00825539">
            <w:pPr>
              <w:pStyle w:val="TableParagraph"/>
              <w:spacing w:line="247" w:lineRule="exact"/>
              <w:ind w:left="105"/>
            </w:pPr>
            <w:r>
              <w:t>2,7</w:t>
            </w:r>
          </w:p>
        </w:tc>
      </w:tr>
      <w:tr w:rsidR="00617585" w14:paraId="6F8041B1" w14:textId="77777777" w:rsidTr="0045059D">
        <w:trPr>
          <w:trHeight w:val="313"/>
        </w:trPr>
        <w:tc>
          <w:tcPr>
            <w:tcW w:w="1026" w:type="dxa"/>
            <w:shd w:val="clear" w:color="auto" w:fill="BFBFBF" w:themeFill="background1" w:themeFillShade="BF"/>
          </w:tcPr>
          <w:p w14:paraId="6F8041AA" w14:textId="77777777" w:rsidR="00617585" w:rsidRDefault="00617585">
            <w:pPr>
              <w:pStyle w:val="TableParagraph"/>
              <w:rPr>
                <w:sz w:val="20"/>
              </w:rPr>
            </w:pPr>
          </w:p>
        </w:tc>
        <w:tc>
          <w:tcPr>
            <w:tcW w:w="3969" w:type="dxa"/>
            <w:shd w:val="clear" w:color="auto" w:fill="BFBFBF" w:themeFill="background1" w:themeFillShade="BF"/>
          </w:tcPr>
          <w:p w14:paraId="6F8041AB" w14:textId="77777777" w:rsidR="00617585" w:rsidRDefault="00617585">
            <w:pPr>
              <w:pStyle w:val="TableParagraph"/>
              <w:rPr>
                <w:sz w:val="20"/>
              </w:rPr>
            </w:pPr>
          </w:p>
        </w:tc>
        <w:tc>
          <w:tcPr>
            <w:tcW w:w="4296" w:type="dxa"/>
            <w:gridSpan w:val="2"/>
            <w:shd w:val="clear" w:color="auto" w:fill="BFBFBF" w:themeFill="background1" w:themeFillShade="BF"/>
          </w:tcPr>
          <w:p w14:paraId="6F8041B0" w14:textId="2750962E" w:rsidR="00617585" w:rsidRDefault="00617585" w:rsidP="0045059D">
            <w:pPr>
              <w:pStyle w:val="TableParagraph"/>
              <w:tabs>
                <w:tab w:val="left" w:pos="1198"/>
              </w:tabs>
              <w:spacing w:line="251" w:lineRule="exact"/>
              <w:ind w:left="104"/>
              <w:rPr>
                <w:b/>
              </w:rPr>
            </w:pPr>
            <w:r>
              <w:rPr>
                <w:b/>
              </w:rPr>
              <w:t>Estrógeno</w:t>
            </w:r>
            <w:r w:rsidR="0022418B">
              <w:rPr>
                <w:b/>
              </w:rPr>
              <w:t>s</w:t>
            </w:r>
            <w:r>
              <w:rPr>
                <w:b/>
              </w:rPr>
              <w:t>-progestágenos combinados</w:t>
            </w:r>
          </w:p>
        </w:tc>
      </w:tr>
      <w:tr w:rsidR="00A92E6F" w14:paraId="6F8041B6" w14:textId="77777777" w:rsidTr="0045059D">
        <w:trPr>
          <w:trHeight w:val="292"/>
        </w:trPr>
        <w:tc>
          <w:tcPr>
            <w:tcW w:w="1026" w:type="dxa"/>
          </w:tcPr>
          <w:p w14:paraId="6F8041B2" w14:textId="599E1F8D" w:rsidR="00A92E6F" w:rsidRDefault="00B07FFE">
            <w:pPr>
              <w:pStyle w:val="TableParagraph"/>
              <w:spacing w:line="247" w:lineRule="exact"/>
              <w:ind w:left="108"/>
            </w:pPr>
            <w:r>
              <w:t>50</w:t>
            </w:r>
          </w:p>
        </w:tc>
        <w:tc>
          <w:tcPr>
            <w:tcW w:w="3969" w:type="dxa"/>
          </w:tcPr>
          <w:p w14:paraId="6F8041B3" w14:textId="222D50F2" w:rsidR="00A92E6F" w:rsidRPr="0045059D" w:rsidRDefault="00856A30">
            <w:pPr>
              <w:pStyle w:val="TableParagraph"/>
              <w:spacing w:line="247" w:lineRule="exact"/>
              <w:ind w:left="106"/>
              <w:rPr>
                <w:vertAlign w:val="superscript"/>
              </w:rPr>
            </w:pPr>
            <w:r>
              <w:t>13,3</w:t>
            </w:r>
          </w:p>
        </w:tc>
        <w:tc>
          <w:tcPr>
            <w:tcW w:w="1418" w:type="dxa"/>
          </w:tcPr>
          <w:p w14:paraId="6F8041B4" w14:textId="3F871CE5" w:rsidR="00A92E6F" w:rsidRDefault="00B07FFE">
            <w:pPr>
              <w:pStyle w:val="TableParagraph"/>
              <w:spacing w:line="247" w:lineRule="exact"/>
              <w:ind w:left="104"/>
            </w:pPr>
            <w:r>
              <w:t>1,</w:t>
            </w:r>
            <w:r w:rsidR="00856A30">
              <w:t>6</w:t>
            </w:r>
          </w:p>
        </w:tc>
        <w:tc>
          <w:tcPr>
            <w:tcW w:w="2878" w:type="dxa"/>
          </w:tcPr>
          <w:p w14:paraId="6F8041B5" w14:textId="3D6C53E2" w:rsidR="00A92E6F" w:rsidRDefault="00856A30">
            <w:pPr>
              <w:pStyle w:val="TableParagraph"/>
              <w:spacing w:line="247" w:lineRule="exact"/>
              <w:ind w:left="105"/>
            </w:pPr>
            <w:r>
              <w:t>8,0</w:t>
            </w:r>
          </w:p>
        </w:tc>
      </w:tr>
      <w:tr w:rsidR="00A92E6F" w14:paraId="6F8041BA" w14:textId="77777777" w:rsidTr="0045059D">
        <w:trPr>
          <w:trHeight w:val="765"/>
        </w:trPr>
        <w:tc>
          <w:tcPr>
            <w:tcW w:w="9291" w:type="dxa"/>
            <w:gridSpan w:val="4"/>
          </w:tcPr>
          <w:p w14:paraId="6F8041B7" w14:textId="6B6B1E99" w:rsidR="00A92E6F" w:rsidRPr="00ED39F4" w:rsidRDefault="00B07FFE">
            <w:pPr>
              <w:pStyle w:val="TableParagraph"/>
              <w:spacing w:line="225" w:lineRule="exact"/>
              <w:ind w:left="108"/>
              <w:rPr>
                <w:sz w:val="20"/>
              </w:rPr>
            </w:pPr>
            <w:r>
              <w:rPr>
                <w:sz w:val="20"/>
              </w:rPr>
              <w:t xml:space="preserve">*Tomado de las tasas de incidencia </w:t>
            </w:r>
            <w:r w:rsidR="005A74EE">
              <w:rPr>
                <w:sz w:val="20"/>
              </w:rPr>
              <w:t>iniciales en Inglaterra en 2015</w:t>
            </w:r>
            <w:r>
              <w:rPr>
                <w:sz w:val="20"/>
              </w:rPr>
              <w:t xml:space="preserve"> en </w:t>
            </w:r>
            <w:r w:rsidR="00ED39F4">
              <w:rPr>
                <w:sz w:val="20"/>
              </w:rPr>
              <w:t>mujeres con IMC 27 (kg/m</w:t>
            </w:r>
            <w:r w:rsidR="00ED39F4">
              <w:rPr>
                <w:sz w:val="20"/>
                <w:vertAlign w:val="superscript"/>
              </w:rPr>
              <w:t>2</w:t>
            </w:r>
            <w:r w:rsidR="00ED39F4">
              <w:rPr>
                <w:sz w:val="20"/>
              </w:rPr>
              <w:t>)</w:t>
            </w:r>
          </w:p>
          <w:p w14:paraId="6F8041B9" w14:textId="389F27ED" w:rsidR="00A92E6F" w:rsidRDefault="00B07FFE" w:rsidP="0045059D">
            <w:pPr>
              <w:pStyle w:val="TableParagraph"/>
              <w:spacing w:before="34" w:line="276" w:lineRule="auto"/>
              <w:ind w:left="108"/>
              <w:rPr>
                <w:sz w:val="20"/>
              </w:rPr>
            </w:pPr>
            <w:r>
              <w:rPr>
                <w:sz w:val="20"/>
              </w:rPr>
              <w:t xml:space="preserve">Nota: </w:t>
            </w:r>
            <w:r w:rsidR="00D61F89">
              <w:rPr>
                <w:sz w:val="20"/>
              </w:rPr>
              <w:t>Puesto q</w:t>
            </w:r>
            <w:r>
              <w:rPr>
                <w:sz w:val="20"/>
              </w:rPr>
              <w:t xml:space="preserve">ue </w:t>
            </w:r>
            <w:r w:rsidR="00D61F89">
              <w:rPr>
                <w:sz w:val="20"/>
              </w:rPr>
              <w:t>la incidencia</w:t>
            </w:r>
            <w:r w:rsidR="00BC710A">
              <w:rPr>
                <w:sz w:val="20"/>
              </w:rPr>
              <w:t xml:space="preserve"> de referencia</w:t>
            </w:r>
            <w:r>
              <w:rPr>
                <w:sz w:val="20"/>
              </w:rPr>
              <w:t xml:space="preserve"> de cáncer de mama dif</w:t>
            </w:r>
            <w:r w:rsidR="00BC710A">
              <w:rPr>
                <w:sz w:val="20"/>
              </w:rPr>
              <w:t>iere</w:t>
            </w:r>
            <w:r>
              <w:rPr>
                <w:sz w:val="20"/>
              </w:rPr>
              <w:t xml:space="preserve"> </w:t>
            </w:r>
            <w:r w:rsidR="00BC710A">
              <w:rPr>
                <w:sz w:val="20"/>
              </w:rPr>
              <w:t>según el</w:t>
            </w:r>
            <w:r>
              <w:rPr>
                <w:sz w:val="20"/>
              </w:rPr>
              <w:t xml:space="preserve"> país de</w:t>
            </w:r>
            <w:r w:rsidR="00691F8C">
              <w:rPr>
                <w:sz w:val="20"/>
              </w:rPr>
              <w:t xml:space="preserve"> la</w:t>
            </w:r>
            <w:r>
              <w:rPr>
                <w:sz w:val="20"/>
              </w:rPr>
              <w:t xml:space="preserve"> UE, el número de casos</w:t>
            </w:r>
            <w:r w:rsidR="00A50C61">
              <w:rPr>
                <w:sz w:val="20"/>
              </w:rPr>
              <w:t xml:space="preserve"> adicionales de cáncer de mama también cambiará proporcionalmente</w:t>
            </w:r>
            <w:r w:rsidR="004C5532">
              <w:rPr>
                <w:sz w:val="20"/>
              </w:rPr>
              <w:t>.</w:t>
            </w:r>
          </w:p>
        </w:tc>
      </w:tr>
    </w:tbl>
    <w:p w14:paraId="6F8041BB" w14:textId="77777777" w:rsidR="00A92E6F" w:rsidRDefault="00A92E6F">
      <w:pPr>
        <w:spacing w:line="229" w:lineRule="exact"/>
        <w:rPr>
          <w:sz w:val="20"/>
        </w:rPr>
        <w:sectPr w:rsidR="00A92E6F">
          <w:pgSz w:w="11910" w:h="16840"/>
          <w:pgMar w:top="60" w:right="520" w:bottom="900" w:left="1060" w:header="0" w:footer="714" w:gutter="0"/>
          <w:cols w:space="720"/>
        </w:sectPr>
      </w:pPr>
    </w:p>
    <w:p w14:paraId="6F8041BC" w14:textId="5BFC6A95" w:rsidR="00A92E6F" w:rsidRDefault="00A92E6F">
      <w:pPr>
        <w:pStyle w:val="Textoindependiente"/>
        <w:rPr>
          <w:b/>
          <w:sz w:val="20"/>
        </w:rPr>
      </w:pPr>
    </w:p>
    <w:p w14:paraId="6F8041BD" w14:textId="77777777" w:rsidR="00A92E6F" w:rsidRDefault="00A92E6F">
      <w:pPr>
        <w:pStyle w:val="Textoindependiente"/>
        <w:rPr>
          <w:b/>
          <w:sz w:val="20"/>
        </w:rPr>
      </w:pPr>
    </w:p>
    <w:p w14:paraId="6F8041BE" w14:textId="77777777" w:rsidR="00A92E6F" w:rsidRDefault="00A92E6F">
      <w:pPr>
        <w:pStyle w:val="Textoindependiente"/>
        <w:rPr>
          <w:b/>
          <w:sz w:val="20"/>
        </w:rPr>
      </w:pPr>
    </w:p>
    <w:p w14:paraId="6F8041BF" w14:textId="55AD4B59" w:rsidR="00A92E6F" w:rsidRDefault="00A92E6F">
      <w:pPr>
        <w:pStyle w:val="Textoindependiente"/>
        <w:rPr>
          <w:b/>
          <w:sz w:val="20"/>
        </w:rPr>
      </w:pPr>
    </w:p>
    <w:p w14:paraId="6CA21D28" w14:textId="443077EC" w:rsidR="00D2476D" w:rsidRDefault="00C74B0D" w:rsidP="00D2476D">
      <w:pPr>
        <w:pStyle w:val="Textoindependiente"/>
        <w:spacing w:after="1"/>
        <w:rPr>
          <w:b/>
        </w:rPr>
      </w:pPr>
      <w:r>
        <w:rPr>
          <w:b/>
        </w:rPr>
        <w:t>Riesgo adicional calculado</w:t>
      </w:r>
      <w:r w:rsidR="007439C5">
        <w:rPr>
          <w:b/>
        </w:rPr>
        <w:t xml:space="preserve"> de cáncer de mama tras 10 años de uso en mujeres con IMC 27 (kg/m</w:t>
      </w:r>
      <w:r w:rsidR="007439C5">
        <w:rPr>
          <w:b/>
          <w:vertAlign w:val="superscript"/>
        </w:rPr>
        <w:t>2</w:t>
      </w:r>
      <w:r w:rsidR="007439C5">
        <w:rPr>
          <w:b/>
        </w:rPr>
        <w:t>)</w:t>
      </w:r>
    </w:p>
    <w:p w14:paraId="12756910" w14:textId="77777777" w:rsidR="007439C5" w:rsidRPr="0045059D" w:rsidRDefault="007439C5" w:rsidP="00D2476D">
      <w:pPr>
        <w:pStyle w:val="Textoindependiente"/>
        <w:spacing w:after="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3620"/>
        <w:gridCol w:w="1625"/>
        <w:gridCol w:w="3020"/>
      </w:tblGrid>
      <w:tr w:rsidR="00D2476D" w14:paraId="18D437B9" w14:textId="77777777" w:rsidTr="0045059D">
        <w:trPr>
          <w:trHeight w:val="1042"/>
        </w:trPr>
        <w:tc>
          <w:tcPr>
            <w:tcW w:w="1026" w:type="dxa"/>
          </w:tcPr>
          <w:p w14:paraId="22456C29" w14:textId="77777777" w:rsidR="00D2476D" w:rsidRDefault="00D2476D" w:rsidP="00D05692">
            <w:pPr>
              <w:pStyle w:val="TableParagraph"/>
              <w:spacing w:line="247" w:lineRule="exact"/>
            </w:pPr>
            <w:r>
              <w:t>Edad al comienzo de la THS (años)</w:t>
            </w:r>
          </w:p>
        </w:tc>
        <w:tc>
          <w:tcPr>
            <w:tcW w:w="3620" w:type="dxa"/>
          </w:tcPr>
          <w:p w14:paraId="7FB09396" w14:textId="365D6C9C" w:rsidR="00D2476D" w:rsidRDefault="00D2476D" w:rsidP="0045059D">
            <w:pPr>
              <w:pStyle w:val="TableParagraph"/>
              <w:spacing w:line="276" w:lineRule="auto"/>
              <w:ind w:left="157" w:right="149" w:hanging="1"/>
              <w:jc w:val="center"/>
            </w:pPr>
            <w:r>
              <w:t>Incidencia por cada 1.000 mujeres que nunca</w:t>
            </w:r>
            <w:r w:rsidR="00FC2117">
              <w:t xml:space="preserve"> hayan usado</w:t>
            </w:r>
            <w:r>
              <w:t xml:space="preserve"> THS </w:t>
            </w:r>
            <w:r w:rsidR="00FC2117">
              <w:t>en</w:t>
            </w:r>
            <w:r>
              <w:t xml:space="preserve"> un período de </w:t>
            </w:r>
            <w:r w:rsidR="00FC2117">
              <w:t>10</w:t>
            </w:r>
            <w:r w:rsidR="00153206">
              <w:t xml:space="preserve"> a</w:t>
            </w:r>
            <w:r>
              <w:t>ños (50-5</w:t>
            </w:r>
            <w:r w:rsidR="00153206">
              <w:t>9</w:t>
            </w:r>
            <w:r>
              <w:t xml:space="preserve"> años)*</w:t>
            </w:r>
          </w:p>
        </w:tc>
        <w:tc>
          <w:tcPr>
            <w:tcW w:w="1625" w:type="dxa"/>
          </w:tcPr>
          <w:p w14:paraId="341AE18C" w14:textId="77777777" w:rsidR="00D2476D" w:rsidRDefault="00D2476D" w:rsidP="00D05692">
            <w:pPr>
              <w:pStyle w:val="TableParagraph"/>
              <w:spacing w:line="247" w:lineRule="exact"/>
              <w:ind w:left="186"/>
            </w:pPr>
            <w:r>
              <w:t>Riesgo Relativo</w:t>
            </w:r>
          </w:p>
        </w:tc>
        <w:tc>
          <w:tcPr>
            <w:tcW w:w="3020" w:type="dxa"/>
          </w:tcPr>
          <w:p w14:paraId="064B7BAC" w14:textId="09915336" w:rsidR="00D2476D" w:rsidRDefault="00D2476D" w:rsidP="00D05692">
            <w:pPr>
              <w:pStyle w:val="TableParagraph"/>
              <w:spacing w:line="276" w:lineRule="auto"/>
              <w:ind w:left="199" w:right="193"/>
              <w:jc w:val="center"/>
            </w:pPr>
            <w:r>
              <w:t xml:space="preserve">Casos adicionales por cada 1.000 mujeres que toman THS </w:t>
            </w:r>
            <w:r w:rsidR="0051157A">
              <w:t>tras 10</w:t>
            </w:r>
            <w:r>
              <w:t xml:space="preserve"> años</w:t>
            </w:r>
          </w:p>
        </w:tc>
      </w:tr>
      <w:tr w:rsidR="00D2476D" w14:paraId="058A753B" w14:textId="77777777" w:rsidTr="00D05692">
        <w:trPr>
          <w:trHeight w:val="290"/>
        </w:trPr>
        <w:tc>
          <w:tcPr>
            <w:tcW w:w="1026" w:type="dxa"/>
            <w:shd w:val="clear" w:color="auto" w:fill="BFBFBF" w:themeFill="background1" w:themeFillShade="BF"/>
          </w:tcPr>
          <w:p w14:paraId="206A7D90" w14:textId="77777777" w:rsidR="00D2476D" w:rsidRDefault="00D2476D" w:rsidP="00D05692">
            <w:pPr>
              <w:pStyle w:val="TableParagraph"/>
              <w:rPr>
                <w:sz w:val="20"/>
              </w:rPr>
            </w:pPr>
          </w:p>
        </w:tc>
        <w:tc>
          <w:tcPr>
            <w:tcW w:w="3620" w:type="dxa"/>
            <w:shd w:val="clear" w:color="auto" w:fill="BFBFBF" w:themeFill="background1" w:themeFillShade="BF"/>
          </w:tcPr>
          <w:p w14:paraId="305FD07C" w14:textId="77777777" w:rsidR="00D2476D" w:rsidRDefault="00D2476D" w:rsidP="00D05692">
            <w:pPr>
              <w:pStyle w:val="TableParagraph"/>
              <w:rPr>
                <w:sz w:val="20"/>
              </w:rPr>
            </w:pPr>
          </w:p>
        </w:tc>
        <w:tc>
          <w:tcPr>
            <w:tcW w:w="4645" w:type="dxa"/>
            <w:gridSpan w:val="2"/>
            <w:shd w:val="clear" w:color="auto" w:fill="BFBFBF" w:themeFill="background1" w:themeFillShade="BF"/>
          </w:tcPr>
          <w:p w14:paraId="66CDF059" w14:textId="77777777" w:rsidR="00D2476D" w:rsidRDefault="00D2476D" w:rsidP="00D05692">
            <w:pPr>
              <w:pStyle w:val="TableParagraph"/>
              <w:spacing w:line="251" w:lineRule="exact"/>
              <w:ind w:left="104"/>
              <w:rPr>
                <w:b/>
              </w:rPr>
            </w:pPr>
            <w:r>
              <w:rPr>
                <w:b/>
              </w:rPr>
              <w:t>TSH con estrógenos sólo</w:t>
            </w:r>
          </w:p>
        </w:tc>
      </w:tr>
      <w:tr w:rsidR="00D2476D" w14:paraId="1F3EC9F3" w14:textId="77777777" w:rsidTr="0045059D">
        <w:trPr>
          <w:trHeight w:val="292"/>
        </w:trPr>
        <w:tc>
          <w:tcPr>
            <w:tcW w:w="1026" w:type="dxa"/>
          </w:tcPr>
          <w:p w14:paraId="2BC00551" w14:textId="77777777" w:rsidR="00D2476D" w:rsidRDefault="00D2476D" w:rsidP="00D05692">
            <w:pPr>
              <w:pStyle w:val="TableParagraph"/>
              <w:spacing w:line="247" w:lineRule="exact"/>
              <w:ind w:left="108"/>
            </w:pPr>
            <w:r>
              <w:t>50</w:t>
            </w:r>
          </w:p>
        </w:tc>
        <w:tc>
          <w:tcPr>
            <w:tcW w:w="3620" w:type="dxa"/>
          </w:tcPr>
          <w:p w14:paraId="0098C6B4" w14:textId="309CD5B6" w:rsidR="00D2476D" w:rsidRDefault="007B67F9" w:rsidP="00D05692">
            <w:pPr>
              <w:pStyle w:val="TableParagraph"/>
              <w:spacing w:line="247" w:lineRule="exact"/>
              <w:ind w:left="106"/>
            </w:pPr>
            <w:r>
              <w:t>26,6</w:t>
            </w:r>
          </w:p>
        </w:tc>
        <w:tc>
          <w:tcPr>
            <w:tcW w:w="1625" w:type="dxa"/>
          </w:tcPr>
          <w:p w14:paraId="000B8571" w14:textId="4CE866FE" w:rsidR="00D2476D" w:rsidRDefault="00D2476D" w:rsidP="00D05692">
            <w:pPr>
              <w:pStyle w:val="TableParagraph"/>
              <w:spacing w:line="247" w:lineRule="exact"/>
              <w:ind w:left="104"/>
            </w:pPr>
            <w:r>
              <w:t>1,</w:t>
            </w:r>
            <w:r w:rsidR="007B67F9">
              <w:t>3</w:t>
            </w:r>
          </w:p>
        </w:tc>
        <w:tc>
          <w:tcPr>
            <w:tcW w:w="3020" w:type="dxa"/>
          </w:tcPr>
          <w:p w14:paraId="550AED4F" w14:textId="7A93A085" w:rsidR="00D2476D" w:rsidRDefault="009C39E1" w:rsidP="00D05692">
            <w:pPr>
              <w:pStyle w:val="TableParagraph"/>
              <w:spacing w:line="247" w:lineRule="exact"/>
              <w:ind w:left="105"/>
            </w:pPr>
            <w:r>
              <w:t>7,1</w:t>
            </w:r>
          </w:p>
        </w:tc>
      </w:tr>
      <w:tr w:rsidR="00D2476D" w14:paraId="19DCBE6C" w14:textId="77777777" w:rsidTr="00D05692">
        <w:trPr>
          <w:trHeight w:val="313"/>
        </w:trPr>
        <w:tc>
          <w:tcPr>
            <w:tcW w:w="1026" w:type="dxa"/>
            <w:shd w:val="clear" w:color="auto" w:fill="BFBFBF" w:themeFill="background1" w:themeFillShade="BF"/>
          </w:tcPr>
          <w:p w14:paraId="46D63F3A" w14:textId="77777777" w:rsidR="00D2476D" w:rsidRDefault="00D2476D" w:rsidP="00D05692">
            <w:pPr>
              <w:pStyle w:val="TableParagraph"/>
              <w:rPr>
                <w:sz w:val="20"/>
              </w:rPr>
            </w:pPr>
          </w:p>
        </w:tc>
        <w:tc>
          <w:tcPr>
            <w:tcW w:w="3620" w:type="dxa"/>
            <w:shd w:val="clear" w:color="auto" w:fill="BFBFBF" w:themeFill="background1" w:themeFillShade="BF"/>
          </w:tcPr>
          <w:p w14:paraId="244466A5" w14:textId="77777777" w:rsidR="00D2476D" w:rsidRDefault="00D2476D" w:rsidP="00D05692">
            <w:pPr>
              <w:pStyle w:val="TableParagraph"/>
              <w:rPr>
                <w:sz w:val="20"/>
              </w:rPr>
            </w:pPr>
          </w:p>
        </w:tc>
        <w:tc>
          <w:tcPr>
            <w:tcW w:w="4645" w:type="dxa"/>
            <w:gridSpan w:val="2"/>
            <w:shd w:val="clear" w:color="auto" w:fill="BFBFBF" w:themeFill="background1" w:themeFillShade="BF"/>
          </w:tcPr>
          <w:p w14:paraId="6F2281DC" w14:textId="77777777" w:rsidR="00D2476D" w:rsidRDefault="00D2476D" w:rsidP="00D05692">
            <w:pPr>
              <w:pStyle w:val="TableParagraph"/>
              <w:tabs>
                <w:tab w:val="left" w:pos="1198"/>
              </w:tabs>
              <w:spacing w:line="251" w:lineRule="exact"/>
              <w:ind w:left="104"/>
              <w:rPr>
                <w:b/>
              </w:rPr>
            </w:pPr>
            <w:r>
              <w:rPr>
                <w:b/>
              </w:rPr>
              <w:t>Estrógeno-progestágenos combinados</w:t>
            </w:r>
          </w:p>
        </w:tc>
      </w:tr>
      <w:tr w:rsidR="00D2476D" w14:paraId="460792FA" w14:textId="77777777" w:rsidTr="0045059D">
        <w:trPr>
          <w:trHeight w:val="292"/>
        </w:trPr>
        <w:tc>
          <w:tcPr>
            <w:tcW w:w="1026" w:type="dxa"/>
          </w:tcPr>
          <w:p w14:paraId="4482057C" w14:textId="77777777" w:rsidR="00D2476D" w:rsidRDefault="00D2476D" w:rsidP="00D05692">
            <w:pPr>
              <w:pStyle w:val="TableParagraph"/>
              <w:spacing w:line="247" w:lineRule="exact"/>
              <w:ind w:left="108"/>
            </w:pPr>
            <w:r>
              <w:t>50</w:t>
            </w:r>
          </w:p>
        </w:tc>
        <w:tc>
          <w:tcPr>
            <w:tcW w:w="3620" w:type="dxa"/>
          </w:tcPr>
          <w:p w14:paraId="4B192E21" w14:textId="675A8DE7" w:rsidR="00D2476D" w:rsidRDefault="009C39E1" w:rsidP="00D05692">
            <w:pPr>
              <w:pStyle w:val="TableParagraph"/>
              <w:spacing w:line="247" w:lineRule="exact"/>
              <w:ind w:left="106"/>
            </w:pPr>
            <w:r>
              <w:t>26,6</w:t>
            </w:r>
          </w:p>
        </w:tc>
        <w:tc>
          <w:tcPr>
            <w:tcW w:w="1625" w:type="dxa"/>
          </w:tcPr>
          <w:p w14:paraId="200B77CA" w14:textId="3B8E6547" w:rsidR="00D2476D" w:rsidRDefault="00D2476D" w:rsidP="00D05692">
            <w:pPr>
              <w:pStyle w:val="TableParagraph"/>
              <w:spacing w:line="247" w:lineRule="exact"/>
              <w:ind w:left="104"/>
            </w:pPr>
            <w:r>
              <w:t>1,</w:t>
            </w:r>
            <w:r w:rsidR="009C39E1">
              <w:t>8</w:t>
            </w:r>
          </w:p>
        </w:tc>
        <w:tc>
          <w:tcPr>
            <w:tcW w:w="3020" w:type="dxa"/>
          </w:tcPr>
          <w:p w14:paraId="72FF4504" w14:textId="1E562305" w:rsidR="00D2476D" w:rsidRDefault="009C39E1" w:rsidP="00D05692">
            <w:pPr>
              <w:pStyle w:val="TableParagraph"/>
              <w:spacing w:line="247" w:lineRule="exact"/>
              <w:ind w:left="105"/>
            </w:pPr>
            <w:r>
              <w:t>20,8</w:t>
            </w:r>
          </w:p>
        </w:tc>
      </w:tr>
      <w:tr w:rsidR="00D2476D" w14:paraId="16323AB3" w14:textId="77777777" w:rsidTr="00D05692">
        <w:trPr>
          <w:trHeight w:val="765"/>
        </w:trPr>
        <w:tc>
          <w:tcPr>
            <w:tcW w:w="9291" w:type="dxa"/>
            <w:gridSpan w:val="4"/>
          </w:tcPr>
          <w:p w14:paraId="2B9E69A6" w14:textId="77777777" w:rsidR="00D2476D" w:rsidRPr="00ED39F4" w:rsidRDefault="00D2476D" w:rsidP="00D05692">
            <w:pPr>
              <w:pStyle w:val="TableParagraph"/>
              <w:spacing w:line="225" w:lineRule="exact"/>
              <w:ind w:left="108"/>
              <w:rPr>
                <w:sz w:val="20"/>
              </w:rPr>
            </w:pPr>
            <w:r>
              <w:rPr>
                <w:sz w:val="20"/>
              </w:rPr>
              <w:t>*Tomado de las tasas de incidencia iniciales en Inglaterra en 2015 en mujeres con IMC 27 (kg/m</w:t>
            </w:r>
            <w:r>
              <w:rPr>
                <w:sz w:val="20"/>
                <w:vertAlign w:val="superscript"/>
              </w:rPr>
              <w:t>2</w:t>
            </w:r>
            <w:r>
              <w:rPr>
                <w:sz w:val="20"/>
              </w:rPr>
              <w:t>)</w:t>
            </w:r>
          </w:p>
          <w:p w14:paraId="7747BD33" w14:textId="6095E96F" w:rsidR="00D2476D" w:rsidRDefault="00D2476D" w:rsidP="00D05692">
            <w:pPr>
              <w:pStyle w:val="TableParagraph"/>
              <w:spacing w:before="34" w:line="276" w:lineRule="auto"/>
              <w:ind w:left="108"/>
              <w:rPr>
                <w:sz w:val="20"/>
              </w:rPr>
            </w:pPr>
            <w:r>
              <w:rPr>
                <w:sz w:val="20"/>
              </w:rPr>
              <w:t xml:space="preserve">Nota: Puesto que la incidencia de referencia de cáncer de mama </w:t>
            </w:r>
            <w:r w:rsidR="0035038C">
              <w:rPr>
                <w:sz w:val="20"/>
              </w:rPr>
              <w:t xml:space="preserve">es </w:t>
            </w:r>
            <w:r>
              <w:rPr>
                <w:sz w:val="20"/>
              </w:rPr>
              <w:t>dif</w:t>
            </w:r>
            <w:r w:rsidR="0035038C">
              <w:rPr>
                <w:sz w:val="20"/>
              </w:rPr>
              <w:t>erente</w:t>
            </w:r>
            <w:r>
              <w:rPr>
                <w:sz w:val="20"/>
              </w:rPr>
              <w:t xml:space="preserve"> según el país de la UE, el número de casos adicionales de cáncer de mama también </w:t>
            </w:r>
            <w:r w:rsidR="0035038C">
              <w:rPr>
                <w:sz w:val="20"/>
              </w:rPr>
              <w:t>varía</w:t>
            </w:r>
            <w:r>
              <w:rPr>
                <w:sz w:val="20"/>
              </w:rPr>
              <w:t xml:space="preserve"> proporcionalmente.</w:t>
            </w:r>
          </w:p>
        </w:tc>
      </w:tr>
    </w:tbl>
    <w:p w14:paraId="4F16133C" w14:textId="77777777" w:rsidR="00D2476D" w:rsidRDefault="00D2476D">
      <w:pPr>
        <w:pStyle w:val="Textoindependiente"/>
        <w:rPr>
          <w:b/>
          <w:sz w:val="20"/>
        </w:rPr>
      </w:pPr>
    </w:p>
    <w:p w14:paraId="6F8041C4" w14:textId="77777777" w:rsidR="00A92E6F" w:rsidRDefault="00B07FFE">
      <w:pPr>
        <w:spacing w:before="91" w:after="34"/>
        <w:ind w:left="217"/>
        <w:rPr>
          <w:b/>
          <w:sz w:val="20"/>
        </w:rPr>
      </w:pPr>
      <w:r>
        <w:rPr>
          <w:b/>
          <w:sz w:val="20"/>
        </w:rPr>
        <w:t>Estudio WHI en EEUU –Riesgo adicional estimado de cáncer de mama después de 5 años de uso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4"/>
        <w:gridCol w:w="2321"/>
        <w:gridCol w:w="2324"/>
      </w:tblGrid>
      <w:tr w:rsidR="00A92E6F" w14:paraId="6F8041CC" w14:textId="77777777">
        <w:trPr>
          <w:trHeight w:val="1453"/>
        </w:trPr>
        <w:tc>
          <w:tcPr>
            <w:tcW w:w="2321" w:type="dxa"/>
          </w:tcPr>
          <w:p w14:paraId="6F8041C5" w14:textId="77777777" w:rsidR="00A92E6F" w:rsidRDefault="00B07FFE">
            <w:pPr>
              <w:pStyle w:val="TableParagraph"/>
              <w:spacing w:line="247" w:lineRule="exact"/>
              <w:ind w:left="204"/>
            </w:pPr>
            <w:r>
              <w:t>Rango de edad (años)</w:t>
            </w:r>
          </w:p>
        </w:tc>
        <w:tc>
          <w:tcPr>
            <w:tcW w:w="2324" w:type="dxa"/>
          </w:tcPr>
          <w:p w14:paraId="6F8041C6" w14:textId="77777777" w:rsidR="00A92E6F" w:rsidRDefault="00B07FFE">
            <w:pPr>
              <w:pStyle w:val="TableParagraph"/>
              <w:spacing w:line="247" w:lineRule="exact"/>
              <w:ind w:left="297"/>
            </w:pPr>
            <w:r>
              <w:t>Incidencia por cada</w:t>
            </w:r>
          </w:p>
          <w:p w14:paraId="6F8041C7" w14:textId="77777777" w:rsidR="00A92E6F" w:rsidRDefault="00B07FFE">
            <w:pPr>
              <w:pStyle w:val="TableParagraph"/>
              <w:spacing w:before="37" w:line="278" w:lineRule="auto"/>
              <w:ind w:left="127" w:right="102" w:firstLine="170"/>
            </w:pPr>
            <w:r>
              <w:t>1.000 mujeres en el brazo placebo más de 5</w:t>
            </w:r>
          </w:p>
          <w:p w14:paraId="6F8041C8" w14:textId="77777777" w:rsidR="00A92E6F" w:rsidRDefault="00B07FFE">
            <w:pPr>
              <w:pStyle w:val="TableParagraph"/>
              <w:spacing w:line="249" w:lineRule="exact"/>
              <w:ind w:left="539" w:right="528"/>
              <w:jc w:val="center"/>
            </w:pPr>
            <w:r>
              <w:t>años</w:t>
            </w:r>
          </w:p>
        </w:tc>
        <w:tc>
          <w:tcPr>
            <w:tcW w:w="2321" w:type="dxa"/>
          </w:tcPr>
          <w:p w14:paraId="6F8041C9" w14:textId="77777777" w:rsidR="00A92E6F" w:rsidRDefault="00B07FFE">
            <w:pPr>
              <w:pStyle w:val="TableParagraph"/>
              <w:spacing w:line="276" w:lineRule="auto"/>
              <w:ind w:left="515" w:right="149" w:hanging="341"/>
            </w:pPr>
            <w:r>
              <w:t>Proporción del Riesgo &amp; IC del 95 %</w:t>
            </w:r>
          </w:p>
        </w:tc>
        <w:tc>
          <w:tcPr>
            <w:tcW w:w="2324" w:type="dxa"/>
          </w:tcPr>
          <w:p w14:paraId="6F8041CA" w14:textId="449B5E0F" w:rsidR="00A92E6F" w:rsidRDefault="00B07FFE">
            <w:pPr>
              <w:pStyle w:val="TableParagraph"/>
              <w:spacing w:line="276" w:lineRule="auto"/>
              <w:ind w:left="182" w:right="172" w:hanging="1"/>
              <w:jc w:val="center"/>
            </w:pPr>
            <w:r>
              <w:t>Casos adicionales por ca</w:t>
            </w:r>
            <w:r w:rsidR="00D1409D">
              <w:t>d</w:t>
            </w:r>
            <w:r>
              <w:t>a 1.000 mujeres usuarias de THS durante más de 5 años</w:t>
            </w:r>
          </w:p>
          <w:p w14:paraId="6F8041CB" w14:textId="77777777" w:rsidR="00A92E6F" w:rsidRDefault="00B07FFE">
            <w:pPr>
              <w:pStyle w:val="TableParagraph"/>
              <w:ind w:left="539" w:right="530"/>
              <w:jc w:val="center"/>
            </w:pPr>
            <w:r>
              <w:t>(IC del 95 %)</w:t>
            </w:r>
          </w:p>
        </w:tc>
      </w:tr>
      <w:tr w:rsidR="00A92E6F" w14:paraId="6F8041D1" w14:textId="77777777">
        <w:trPr>
          <w:trHeight w:val="582"/>
        </w:trPr>
        <w:tc>
          <w:tcPr>
            <w:tcW w:w="2321" w:type="dxa"/>
          </w:tcPr>
          <w:p w14:paraId="6F8041CD" w14:textId="77777777" w:rsidR="00A92E6F" w:rsidRDefault="00A92E6F">
            <w:pPr>
              <w:pStyle w:val="TableParagraph"/>
              <w:rPr>
                <w:sz w:val="20"/>
              </w:rPr>
            </w:pPr>
          </w:p>
        </w:tc>
        <w:tc>
          <w:tcPr>
            <w:tcW w:w="2324" w:type="dxa"/>
          </w:tcPr>
          <w:p w14:paraId="6F8041CE" w14:textId="77777777" w:rsidR="00A92E6F" w:rsidRDefault="00A92E6F">
            <w:pPr>
              <w:pStyle w:val="TableParagraph"/>
              <w:rPr>
                <w:sz w:val="20"/>
              </w:rPr>
            </w:pPr>
          </w:p>
        </w:tc>
        <w:tc>
          <w:tcPr>
            <w:tcW w:w="4645" w:type="dxa"/>
            <w:gridSpan w:val="2"/>
          </w:tcPr>
          <w:p w14:paraId="6F8041CF" w14:textId="77777777" w:rsidR="00A92E6F" w:rsidRDefault="00B07FFE">
            <w:pPr>
              <w:pStyle w:val="TableParagraph"/>
              <w:spacing w:line="251" w:lineRule="exact"/>
              <w:ind w:left="105"/>
              <w:rPr>
                <w:b/>
              </w:rPr>
            </w:pPr>
            <w:r>
              <w:rPr>
                <w:b/>
              </w:rPr>
              <w:t>Solamente estrógenos de equinos conjugados</w:t>
            </w:r>
          </w:p>
          <w:p w14:paraId="6F8041D0" w14:textId="77777777" w:rsidR="00A92E6F" w:rsidRDefault="00B07FFE">
            <w:pPr>
              <w:pStyle w:val="TableParagraph"/>
              <w:spacing w:before="40"/>
              <w:ind w:left="105"/>
              <w:rPr>
                <w:b/>
              </w:rPr>
            </w:pPr>
            <w:r>
              <w:rPr>
                <w:b/>
              </w:rPr>
              <w:t>(ECE)</w:t>
            </w:r>
          </w:p>
        </w:tc>
      </w:tr>
      <w:tr w:rsidR="00A92E6F" w14:paraId="6F8041D6" w14:textId="77777777">
        <w:trPr>
          <w:trHeight w:val="290"/>
        </w:trPr>
        <w:tc>
          <w:tcPr>
            <w:tcW w:w="2321" w:type="dxa"/>
          </w:tcPr>
          <w:p w14:paraId="6F8041D2" w14:textId="77777777" w:rsidR="00A92E6F" w:rsidRDefault="00B07FFE">
            <w:pPr>
              <w:pStyle w:val="TableParagraph"/>
              <w:spacing w:line="247" w:lineRule="exact"/>
              <w:ind w:left="108"/>
            </w:pPr>
            <w:r>
              <w:t>50-79</w:t>
            </w:r>
          </w:p>
        </w:tc>
        <w:tc>
          <w:tcPr>
            <w:tcW w:w="2324" w:type="dxa"/>
          </w:tcPr>
          <w:p w14:paraId="6F8041D3" w14:textId="77777777" w:rsidR="00A92E6F" w:rsidRDefault="00B07FFE">
            <w:pPr>
              <w:pStyle w:val="TableParagraph"/>
              <w:spacing w:line="247" w:lineRule="exact"/>
              <w:ind w:left="108"/>
            </w:pPr>
            <w:r>
              <w:t>21</w:t>
            </w:r>
          </w:p>
        </w:tc>
        <w:tc>
          <w:tcPr>
            <w:tcW w:w="2321" w:type="dxa"/>
          </w:tcPr>
          <w:p w14:paraId="6F8041D4" w14:textId="77777777" w:rsidR="00A92E6F" w:rsidRDefault="00B07FFE">
            <w:pPr>
              <w:pStyle w:val="TableParagraph"/>
              <w:spacing w:line="247" w:lineRule="exact"/>
              <w:ind w:left="105"/>
            </w:pPr>
            <w:r>
              <w:t>0,8 (0,7-1,0)</w:t>
            </w:r>
          </w:p>
        </w:tc>
        <w:tc>
          <w:tcPr>
            <w:tcW w:w="2324" w:type="dxa"/>
          </w:tcPr>
          <w:p w14:paraId="6F8041D5" w14:textId="77777777" w:rsidR="00A92E6F" w:rsidRDefault="00B07FFE">
            <w:pPr>
              <w:pStyle w:val="TableParagraph"/>
              <w:spacing w:line="247" w:lineRule="exact"/>
              <w:ind w:left="107"/>
            </w:pPr>
            <w:r>
              <w:t>-4 (-6 – 0)*3</w:t>
            </w:r>
          </w:p>
        </w:tc>
      </w:tr>
      <w:tr w:rsidR="00A92E6F" w14:paraId="6F8041DA" w14:textId="77777777">
        <w:trPr>
          <w:trHeight w:val="292"/>
        </w:trPr>
        <w:tc>
          <w:tcPr>
            <w:tcW w:w="2321" w:type="dxa"/>
          </w:tcPr>
          <w:p w14:paraId="6F8041D7" w14:textId="77777777" w:rsidR="00A92E6F" w:rsidRDefault="00A92E6F">
            <w:pPr>
              <w:pStyle w:val="TableParagraph"/>
              <w:rPr>
                <w:sz w:val="20"/>
              </w:rPr>
            </w:pPr>
          </w:p>
        </w:tc>
        <w:tc>
          <w:tcPr>
            <w:tcW w:w="2324" w:type="dxa"/>
          </w:tcPr>
          <w:p w14:paraId="6F8041D8" w14:textId="77777777" w:rsidR="00A92E6F" w:rsidRDefault="00A92E6F">
            <w:pPr>
              <w:pStyle w:val="TableParagraph"/>
              <w:rPr>
                <w:sz w:val="20"/>
              </w:rPr>
            </w:pPr>
          </w:p>
        </w:tc>
        <w:tc>
          <w:tcPr>
            <w:tcW w:w="4645" w:type="dxa"/>
            <w:gridSpan w:val="2"/>
          </w:tcPr>
          <w:p w14:paraId="6F8041D9" w14:textId="77777777" w:rsidR="00A92E6F" w:rsidRDefault="00B07FFE">
            <w:pPr>
              <w:pStyle w:val="TableParagraph"/>
              <w:spacing w:line="251" w:lineRule="exact"/>
              <w:ind w:left="105"/>
              <w:rPr>
                <w:b/>
              </w:rPr>
            </w:pPr>
            <w:r>
              <w:rPr>
                <w:b/>
              </w:rPr>
              <w:t>ECE + MPA (estrógeno &amp; progestágenos)</w:t>
            </w:r>
          </w:p>
        </w:tc>
      </w:tr>
      <w:tr w:rsidR="00A92E6F" w14:paraId="6F8041DF" w14:textId="77777777">
        <w:trPr>
          <w:trHeight w:val="290"/>
        </w:trPr>
        <w:tc>
          <w:tcPr>
            <w:tcW w:w="2321" w:type="dxa"/>
          </w:tcPr>
          <w:p w14:paraId="6F8041DB" w14:textId="77777777" w:rsidR="00A92E6F" w:rsidRDefault="00B07FFE">
            <w:pPr>
              <w:pStyle w:val="TableParagraph"/>
              <w:spacing w:line="247" w:lineRule="exact"/>
              <w:ind w:left="108"/>
            </w:pPr>
            <w:r>
              <w:t>50-79</w:t>
            </w:r>
          </w:p>
        </w:tc>
        <w:tc>
          <w:tcPr>
            <w:tcW w:w="2324" w:type="dxa"/>
          </w:tcPr>
          <w:p w14:paraId="6F8041DC" w14:textId="77777777" w:rsidR="00A92E6F" w:rsidRDefault="00B07FFE">
            <w:pPr>
              <w:pStyle w:val="TableParagraph"/>
              <w:spacing w:line="247" w:lineRule="exact"/>
              <w:ind w:left="108"/>
            </w:pPr>
            <w:r>
              <w:t>17</w:t>
            </w:r>
          </w:p>
        </w:tc>
        <w:tc>
          <w:tcPr>
            <w:tcW w:w="2321" w:type="dxa"/>
          </w:tcPr>
          <w:p w14:paraId="6F8041DD" w14:textId="77777777" w:rsidR="00A92E6F" w:rsidRDefault="00B07FFE">
            <w:pPr>
              <w:pStyle w:val="TableParagraph"/>
              <w:spacing w:line="247" w:lineRule="exact"/>
              <w:ind w:left="105"/>
            </w:pPr>
            <w:r>
              <w:t>1,2 (1,0-1,5)</w:t>
            </w:r>
          </w:p>
        </w:tc>
        <w:tc>
          <w:tcPr>
            <w:tcW w:w="2324" w:type="dxa"/>
          </w:tcPr>
          <w:p w14:paraId="6F8041DE" w14:textId="77777777" w:rsidR="00A92E6F" w:rsidRDefault="00B07FFE">
            <w:pPr>
              <w:pStyle w:val="TableParagraph"/>
              <w:spacing w:line="247" w:lineRule="exact"/>
              <w:ind w:left="107"/>
            </w:pPr>
            <w:r>
              <w:t>+4 (0-9)</w:t>
            </w:r>
          </w:p>
        </w:tc>
      </w:tr>
      <w:tr w:rsidR="00A92E6F" w14:paraId="6F8041E2" w14:textId="77777777">
        <w:trPr>
          <w:trHeight w:val="1068"/>
        </w:trPr>
        <w:tc>
          <w:tcPr>
            <w:tcW w:w="9290" w:type="dxa"/>
            <w:gridSpan w:val="4"/>
          </w:tcPr>
          <w:p w14:paraId="6F8041E0" w14:textId="77777777" w:rsidR="00A92E6F" w:rsidRDefault="00B07FFE">
            <w:pPr>
              <w:pStyle w:val="TableParagraph"/>
              <w:spacing w:line="203" w:lineRule="exact"/>
              <w:ind w:left="108"/>
              <w:rPr>
                <w:sz w:val="18"/>
              </w:rPr>
            </w:pPr>
            <w:r>
              <w:rPr>
                <w:sz w:val="18"/>
              </w:rPr>
              <w:t>*3 estudio WHI en mujeres que no tienen útero, que no mostraron un aumento del riesgo de cáncer de mama.</w:t>
            </w:r>
          </w:p>
          <w:p w14:paraId="6F8041E1" w14:textId="77777777" w:rsidR="00A92E6F" w:rsidRDefault="00B07FFE">
            <w:pPr>
              <w:pStyle w:val="TableParagraph"/>
              <w:spacing w:before="30"/>
              <w:ind w:left="108" w:right="102"/>
              <w:jc w:val="both"/>
              <w:rPr>
                <w:sz w:val="18"/>
              </w:rPr>
            </w:pPr>
            <w:r>
              <w:rPr>
                <w:sz w:val="18"/>
              </w:rPr>
              <w:t>§ Cuando se realizó el análisis estrictamente a mujeres que no habían utilizado TSH antes del estudio no hubo un aumento aparente del riesgo durante los primeros 5 años de tratamiento: después de los 5 años el riesgo fue mayor que en las no usuarias.</w:t>
            </w:r>
          </w:p>
        </w:tc>
      </w:tr>
    </w:tbl>
    <w:p w14:paraId="6F8041E3" w14:textId="77777777" w:rsidR="00A92E6F" w:rsidRDefault="00A92E6F">
      <w:pPr>
        <w:pStyle w:val="Textoindependiente"/>
        <w:rPr>
          <w:b/>
        </w:rPr>
      </w:pPr>
    </w:p>
    <w:p w14:paraId="6F8041E4" w14:textId="77777777" w:rsidR="00A92E6F" w:rsidRDefault="00A92E6F">
      <w:pPr>
        <w:pStyle w:val="Textoindependiente"/>
        <w:spacing w:before="4"/>
        <w:rPr>
          <w:b/>
          <w:sz w:val="28"/>
        </w:rPr>
      </w:pPr>
    </w:p>
    <w:p w14:paraId="6F8041E5" w14:textId="77777777" w:rsidR="00A92E6F" w:rsidRDefault="00B07FFE">
      <w:pPr>
        <w:pStyle w:val="Ttulo1"/>
      </w:pPr>
      <w:r>
        <w:rPr>
          <w:u w:val="thick"/>
        </w:rPr>
        <w:t>Riesgo de cáncer de endometrio</w:t>
      </w:r>
    </w:p>
    <w:p w14:paraId="6F8041E6" w14:textId="77777777" w:rsidR="00A92E6F" w:rsidRDefault="00A92E6F">
      <w:pPr>
        <w:pStyle w:val="Textoindependiente"/>
        <w:spacing w:before="2"/>
        <w:rPr>
          <w:b/>
          <w:sz w:val="20"/>
        </w:rPr>
      </w:pPr>
    </w:p>
    <w:p w14:paraId="6F8041E7" w14:textId="77777777" w:rsidR="00A92E6F" w:rsidRDefault="00B07FFE">
      <w:pPr>
        <w:pStyle w:val="Textoindependiente"/>
        <w:spacing w:before="91"/>
        <w:ind w:left="217"/>
      </w:pPr>
      <w:r>
        <w:rPr>
          <w:u w:val="single"/>
        </w:rPr>
        <w:t>En mujeres postmenopáusicas con útero</w:t>
      </w:r>
    </w:p>
    <w:p w14:paraId="6F8041E8" w14:textId="17743A6C" w:rsidR="00A92E6F" w:rsidRDefault="00B07FFE">
      <w:pPr>
        <w:pStyle w:val="Textoindependiente"/>
        <w:spacing w:before="40" w:line="276" w:lineRule="auto"/>
        <w:ind w:left="217" w:right="616"/>
        <w:jc w:val="both"/>
      </w:pPr>
      <w:r>
        <w:t>El riesgo de c</w:t>
      </w:r>
      <w:r w:rsidR="00815103">
        <w:t>á</w:t>
      </w:r>
      <w:r>
        <w:t>ncer de endometrio en mujeres con útero que no utilizan la THS es de 5 de cada 1.000 mujeres.</w:t>
      </w:r>
    </w:p>
    <w:p w14:paraId="6F8041E9" w14:textId="77777777" w:rsidR="00A92E6F" w:rsidRDefault="00A92E6F">
      <w:pPr>
        <w:pStyle w:val="Textoindependiente"/>
        <w:spacing w:before="2"/>
        <w:rPr>
          <w:sz w:val="25"/>
        </w:rPr>
      </w:pPr>
    </w:p>
    <w:p w14:paraId="6F8041EA" w14:textId="77777777" w:rsidR="00A92E6F" w:rsidRDefault="00B07FFE">
      <w:pPr>
        <w:pStyle w:val="Textoindependiente"/>
        <w:spacing w:line="278" w:lineRule="auto"/>
        <w:ind w:left="217" w:right="616"/>
        <w:jc w:val="both"/>
      </w:pPr>
      <w:r>
        <w:t>En mujeres con útero, no se recomienda el uso de THS basada sólo en estrógeno debido a que aumenta el riesgo de cáncer de endometrio (ver sección 4.4).</w:t>
      </w:r>
    </w:p>
    <w:p w14:paraId="6F8041EB" w14:textId="77777777" w:rsidR="00A92E6F" w:rsidRDefault="00B07FFE">
      <w:pPr>
        <w:pStyle w:val="Textoindependiente"/>
        <w:spacing w:line="276" w:lineRule="auto"/>
        <w:ind w:left="217" w:right="613"/>
        <w:jc w:val="both"/>
      </w:pPr>
      <w:r>
        <w:t>En mujeres con útero intacto, el riesgo de hiperplasia de endometrio y cáncer de endometrio aumenta con la duración del tratamiento con estrógenos solos.</w:t>
      </w:r>
    </w:p>
    <w:p w14:paraId="6F8041EC" w14:textId="77777777" w:rsidR="00A92E6F" w:rsidRDefault="00A92E6F">
      <w:pPr>
        <w:pStyle w:val="Textoindependiente"/>
        <w:spacing w:before="10"/>
        <w:rPr>
          <w:sz w:val="24"/>
        </w:rPr>
      </w:pPr>
    </w:p>
    <w:p w14:paraId="6F8041ED" w14:textId="77777777" w:rsidR="00A92E6F" w:rsidRDefault="00B07FFE">
      <w:pPr>
        <w:pStyle w:val="Textoindependiente"/>
        <w:spacing w:line="276" w:lineRule="auto"/>
        <w:ind w:left="217" w:right="610"/>
        <w:jc w:val="both"/>
      </w:pPr>
      <w:r>
        <w:t>Dependiendo de la duración y de la dosis en los tratamientos basados sólo en estrógenos, el incremento del riesgo de cáncer de endometrio identificado en los estudios epidemiológicos varía entre 5 y 55 nuevos casos diagnosticados por cada 1.000 mujeres entre 50 y 65</w:t>
      </w:r>
      <w:r>
        <w:rPr>
          <w:spacing w:val="-10"/>
        </w:rPr>
        <w:t xml:space="preserve"> </w:t>
      </w:r>
      <w:r>
        <w:t>años.</w:t>
      </w:r>
    </w:p>
    <w:p w14:paraId="6F8041EE" w14:textId="77777777" w:rsidR="00A92E6F" w:rsidRDefault="00B07FFE">
      <w:pPr>
        <w:pStyle w:val="Textoindependiente"/>
        <w:spacing w:before="1" w:line="276" w:lineRule="auto"/>
        <w:ind w:left="217" w:right="612"/>
        <w:jc w:val="both"/>
      </w:pPr>
      <w:r>
        <w:t xml:space="preserve">Cuando se añade un progestágeno a la THS con estrógenos solos se reduce de manera muy </w:t>
      </w:r>
      <w:r>
        <w:lastRenderedPageBreak/>
        <w:t>importante este incremento del riesgo.</w:t>
      </w:r>
    </w:p>
    <w:p w14:paraId="6F8041EF" w14:textId="77777777" w:rsidR="00A92E6F" w:rsidRDefault="00A92E6F">
      <w:pPr>
        <w:pStyle w:val="Textoindependiente"/>
        <w:spacing w:before="4"/>
        <w:rPr>
          <w:sz w:val="25"/>
        </w:rPr>
      </w:pPr>
    </w:p>
    <w:p w14:paraId="6F8041F0" w14:textId="77777777" w:rsidR="00A92E6F" w:rsidRDefault="00B07FFE">
      <w:pPr>
        <w:pStyle w:val="Textoindependiente"/>
        <w:spacing w:line="276" w:lineRule="auto"/>
        <w:ind w:left="217" w:right="607"/>
        <w:jc w:val="both"/>
      </w:pPr>
      <w:r>
        <w:t>La adicción de un progestágeno a la terapia con estrógenos durante al menos 12 días por ciclo puede prevenir este incremento del riesgo. En el estudio Million Women el uso durante cinco años de terapia THS combinada (secuencial o continua) no aumentó el riesgo de cáncer de endometrio (RR de 1,0 (0,8-1,2)).</w:t>
      </w:r>
    </w:p>
    <w:p w14:paraId="6F8041F1" w14:textId="77777777" w:rsidR="00A92E6F" w:rsidRDefault="00A92E6F">
      <w:pPr>
        <w:pStyle w:val="Textoindependiente"/>
        <w:spacing w:before="9"/>
        <w:rPr>
          <w:sz w:val="25"/>
        </w:rPr>
      </w:pPr>
    </w:p>
    <w:p w14:paraId="6F8041F2" w14:textId="77777777" w:rsidR="00A92E6F" w:rsidRDefault="00B07FFE">
      <w:pPr>
        <w:pStyle w:val="Ttulo1"/>
        <w:jc w:val="both"/>
      </w:pPr>
      <w:r>
        <w:rPr>
          <w:u w:val="thick"/>
        </w:rPr>
        <w:t>Riesgo de cáncer de ovario:</w:t>
      </w:r>
    </w:p>
    <w:p w14:paraId="6F8041F3" w14:textId="77777777" w:rsidR="00A92E6F" w:rsidRDefault="00A92E6F">
      <w:pPr>
        <w:pStyle w:val="Textoindependiente"/>
        <w:spacing w:before="2"/>
        <w:rPr>
          <w:b/>
          <w:sz w:val="20"/>
        </w:rPr>
      </w:pPr>
    </w:p>
    <w:p w14:paraId="6F8041F4" w14:textId="77777777" w:rsidR="00A92E6F" w:rsidRDefault="00B07FFE">
      <w:pPr>
        <w:pStyle w:val="Textoindependiente"/>
        <w:spacing w:before="91" w:line="276" w:lineRule="auto"/>
        <w:ind w:left="217" w:right="606"/>
        <w:jc w:val="both"/>
      </w:pPr>
      <w:r>
        <w:t>El uso de THS con estrógenos solos o con combinación de estrógenos-progestágenos se ha asociado a un riesgo ligeramente superior de aparición de cáncer de ovario (ver sección 4.4).</w:t>
      </w:r>
    </w:p>
    <w:p w14:paraId="6F8041FC" w14:textId="5CB1CB7E" w:rsidR="00A92E6F" w:rsidRDefault="00B07FFE" w:rsidP="00E94B1B">
      <w:pPr>
        <w:pStyle w:val="Textoindependiente"/>
        <w:spacing w:line="276" w:lineRule="auto"/>
        <w:ind w:left="217" w:right="608"/>
        <w:jc w:val="both"/>
      </w:pPr>
      <w:r>
        <w:t>Un meta-análisis de 52 estudios epidemiológicos indicó mayor riesgo de aparición de cáncer de ovario en mujeres a tratamiento con THS en comparación con mujeres que nunca habían sido tratadas con THS (RR 1,43, IC 95% 1,31-1,56). En mujeres de edades comprendidas entre 50 y 54 años en tratamiento con THS</w:t>
      </w:r>
      <w:r w:rsidR="00E94B1B">
        <w:t xml:space="preserve"> </w:t>
      </w:r>
      <w:r>
        <w:t>durante 5 años, se produjo 1 caso adicional por 2000 pacientes. En mujeres de 50 a 54 años no tratadas con THS, se observaron alrededor de 2 casos de cáncer de ovario por cada 2000 mujeres en un periodo de 5 años.</w:t>
      </w:r>
    </w:p>
    <w:p w14:paraId="6F8041FD" w14:textId="77777777" w:rsidR="00A92E6F" w:rsidRDefault="00A92E6F">
      <w:pPr>
        <w:pStyle w:val="Textoindependiente"/>
        <w:spacing w:before="8"/>
        <w:rPr>
          <w:sz w:val="25"/>
        </w:rPr>
      </w:pPr>
    </w:p>
    <w:p w14:paraId="6F8041FE" w14:textId="77777777" w:rsidR="00A92E6F" w:rsidRDefault="00B07FFE">
      <w:pPr>
        <w:pStyle w:val="Ttulo1"/>
        <w:jc w:val="both"/>
      </w:pPr>
      <w:r>
        <w:rPr>
          <w:u w:val="thick"/>
        </w:rPr>
        <w:t>Riesgo de trombosis venosa:</w:t>
      </w:r>
    </w:p>
    <w:p w14:paraId="6F8041FF" w14:textId="77777777" w:rsidR="00A92E6F" w:rsidRDefault="00A92E6F">
      <w:pPr>
        <w:pStyle w:val="Textoindependiente"/>
        <w:spacing w:before="2"/>
        <w:rPr>
          <w:b/>
          <w:sz w:val="20"/>
        </w:rPr>
      </w:pPr>
    </w:p>
    <w:p w14:paraId="6F804200" w14:textId="77777777" w:rsidR="00A92E6F" w:rsidRDefault="00B07FFE">
      <w:pPr>
        <w:pStyle w:val="Textoindependiente"/>
        <w:spacing w:before="91" w:line="276" w:lineRule="auto"/>
        <w:ind w:left="217" w:right="613"/>
        <w:jc w:val="both"/>
      </w:pPr>
      <w:r>
        <w:t>La THS está asociada a un aumento de 1,3 a 3 veces el riesgo relativo de desarrollo de trombosis venosa profunda (TEV), por ejemplo, trombosis venosa profunda o embolia pulmonar. La frecuencia de cada acontecimiento es más probable durante el primer año de uso de THS (ver sección 4.4). Resultados de los estudios WHI se presentan a continuación:</w:t>
      </w:r>
    </w:p>
    <w:p w14:paraId="6F804201" w14:textId="77777777" w:rsidR="00A92E6F" w:rsidRDefault="00A92E6F">
      <w:pPr>
        <w:pStyle w:val="Textoindependiente"/>
        <w:spacing w:before="8"/>
        <w:rPr>
          <w:sz w:val="25"/>
        </w:rPr>
      </w:pPr>
    </w:p>
    <w:p w14:paraId="6F804202" w14:textId="77777777" w:rsidR="00A92E6F" w:rsidRDefault="00B07FFE">
      <w:pPr>
        <w:pStyle w:val="Ttulo1"/>
        <w:spacing w:before="1" w:after="39"/>
        <w:jc w:val="both"/>
      </w:pPr>
      <w:r>
        <w:t>Estudios WHI – Riesgo adicional de TEV a partir de 5 años de uso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4"/>
        <w:gridCol w:w="2321"/>
        <w:gridCol w:w="2324"/>
      </w:tblGrid>
      <w:tr w:rsidR="00A92E6F" w14:paraId="6F804209" w14:textId="77777777">
        <w:trPr>
          <w:trHeight w:val="1164"/>
        </w:trPr>
        <w:tc>
          <w:tcPr>
            <w:tcW w:w="2321" w:type="dxa"/>
          </w:tcPr>
          <w:p w14:paraId="6F804203" w14:textId="77777777" w:rsidR="00A92E6F" w:rsidRDefault="00B07FFE">
            <w:pPr>
              <w:pStyle w:val="TableParagraph"/>
              <w:spacing w:line="247" w:lineRule="exact"/>
              <w:ind w:left="108"/>
            </w:pPr>
            <w:r>
              <w:t>Rango de edad (años)</w:t>
            </w:r>
          </w:p>
        </w:tc>
        <w:tc>
          <w:tcPr>
            <w:tcW w:w="2324" w:type="dxa"/>
          </w:tcPr>
          <w:p w14:paraId="6F804204" w14:textId="77777777" w:rsidR="00A92E6F" w:rsidRDefault="00B07FFE">
            <w:pPr>
              <w:pStyle w:val="TableParagraph"/>
              <w:tabs>
                <w:tab w:val="left" w:pos="1270"/>
                <w:tab w:val="left" w:pos="1810"/>
              </w:tabs>
              <w:spacing w:line="247" w:lineRule="exact"/>
              <w:ind w:left="108"/>
            </w:pPr>
            <w:r>
              <w:t>Incidencia</w:t>
            </w:r>
            <w:r>
              <w:tab/>
              <w:t>por</w:t>
            </w:r>
            <w:r>
              <w:tab/>
              <w:t>cada</w:t>
            </w:r>
          </w:p>
          <w:p w14:paraId="6F804205" w14:textId="77777777" w:rsidR="00A92E6F" w:rsidRDefault="00B07FFE">
            <w:pPr>
              <w:pStyle w:val="TableParagraph"/>
              <w:spacing w:before="40" w:line="276" w:lineRule="auto"/>
              <w:ind w:left="108" w:right="30"/>
            </w:pPr>
            <w:r>
              <w:t xml:space="preserve">1.000 mujeres en </w:t>
            </w:r>
            <w:r>
              <w:rPr>
                <w:spacing w:val="-8"/>
              </w:rPr>
              <w:t xml:space="preserve">el </w:t>
            </w:r>
            <w:r>
              <w:t xml:space="preserve">brazo  de  placebo </w:t>
            </w:r>
            <w:r>
              <w:rPr>
                <w:spacing w:val="42"/>
              </w:rPr>
              <w:t xml:space="preserve"> </w:t>
            </w:r>
            <w:r>
              <w:rPr>
                <w:spacing w:val="-6"/>
              </w:rPr>
              <w:t>más</w:t>
            </w:r>
          </w:p>
          <w:p w14:paraId="6F804206" w14:textId="77777777" w:rsidR="00A92E6F" w:rsidRDefault="00B07FFE">
            <w:pPr>
              <w:pStyle w:val="TableParagraph"/>
              <w:spacing w:line="253" w:lineRule="exact"/>
              <w:ind w:left="108"/>
            </w:pPr>
            <w:r>
              <w:t>de 5 años</w:t>
            </w:r>
          </w:p>
        </w:tc>
        <w:tc>
          <w:tcPr>
            <w:tcW w:w="2321" w:type="dxa"/>
          </w:tcPr>
          <w:p w14:paraId="6F804207" w14:textId="77777777" w:rsidR="00A92E6F" w:rsidRDefault="00B07FFE">
            <w:pPr>
              <w:pStyle w:val="TableParagraph"/>
              <w:spacing w:line="278" w:lineRule="auto"/>
              <w:ind w:left="105" w:right="149"/>
            </w:pPr>
            <w:r>
              <w:t xml:space="preserve">Proporción de  </w:t>
            </w:r>
            <w:r>
              <w:rPr>
                <w:spacing w:val="-4"/>
              </w:rPr>
              <w:t xml:space="preserve">Riesgo </w:t>
            </w:r>
            <w:r>
              <w:t>&amp; IC del 95 %</w:t>
            </w:r>
          </w:p>
        </w:tc>
        <w:tc>
          <w:tcPr>
            <w:tcW w:w="2324" w:type="dxa"/>
          </w:tcPr>
          <w:p w14:paraId="6F804208" w14:textId="77777777" w:rsidR="00A92E6F" w:rsidRDefault="00B07FFE">
            <w:pPr>
              <w:pStyle w:val="TableParagraph"/>
              <w:spacing w:line="276" w:lineRule="auto"/>
              <w:ind w:left="107" w:right="96"/>
              <w:jc w:val="both"/>
            </w:pPr>
            <w:r>
              <w:t>Casos adicionales por cada 1.000 usuarias de THS</w:t>
            </w:r>
          </w:p>
        </w:tc>
      </w:tr>
      <w:tr w:rsidR="00A92E6F" w14:paraId="6F80420B" w14:textId="77777777">
        <w:trPr>
          <w:trHeight w:val="292"/>
        </w:trPr>
        <w:tc>
          <w:tcPr>
            <w:tcW w:w="9290" w:type="dxa"/>
            <w:gridSpan w:val="4"/>
          </w:tcPr>
          <w:p w14:paraId="6F80420A" w14:textId="77777777" w:rsidR="00A92E6F" w:rsidRDefault="00B07FFE">
            <w:pPr>
              <w:pStyle w:val="TableParagraph"/>
              <w:spacing w:line="249" w:lineRule="exact"/>
              <w:ind w:left="108"/>
            </w:pPr>
            <w:r>
              <w:t>Solamente estrógeno, oral*4</w:t>
            </w:r>
          </w:p>
        </w:tc>
      </w:tr>
      <w:tr w:rsidR="00A92E6F" w14:paraId="6F804210" w14:textId="77777777">
        <w:trPr>
          <w:trHeight w:val="290"/>
        </w:trPr>
        <w:tc>
          <w:tcPr>
            <w:tcW w:w="2321" w:type="dxa"/>
          </w:tcPr>
          <w:p w14:paraId="6F80420C" w14:textId="77777777" w:rsidR="00A92E6F" w:rsidRDefault="00B07FFE">
            <w:pPr>
              <w:pStyle w:val="TableParagraph"/>
              <w:spacing w:line="247" w:lineRule="exact"/>
              <w:ind w:left="108"/>
            </w:pPr>
            <w:r>
              <w:t>50-59</w:t>
            </w:r>
          </w:p>
        </w:tc>
        <w:tc>
          <w:tcPr>
            <w:tcW w:w="2324" w:type="dxa"/>
          </w:tcPr>
          <w:p w14:paraId="6F80420D" w14:textId="77777777" w:rsidR="00A92E6F" w:rsidRDefault="00B07FFE">
            <w:pPr>
              <w:pStyle w:val="TableParagraph"/>
              <w:spacing w:line="247" w:lineRule="exact"/>
              <w:ind w:left="108"/>
            </w:pPr>
            <w:r>
              <w:t>7</w:t>
            </w:r>
          </w:p>
        </w:tc>
        <w:tc>
          <w:tcPr>
            <w:tcW w:w="2321" w:type="dxa"/>
          </w:tcPr>
          <w:p w14:paraId="6F80420E" w14:textId="77777777" w:rsidR="00A92E6F" w:rsidRDefault="00B07FFE">
            <w:pPr>
              <w:pStyle w:val="TableParagraph"/>
              <w:spacing w:line="247" w:lineRule="exact"/>
              <w:ind w:left="105"/>
            </w:pPr>
            <w:r>
              <w:t>1,2 (0,6 – 2,4)</w:t>
            </w:r>
          </w:p>
        </w:tc>
        <w:tc>
          <w:tcPr>
            <w:tcW w:w="2324" w:type="dxa"/>
          </w:tcPr>
          <w:p w14:paraId="6F80420F" w14:textId="77777777" w:rsidR="00A92E6F" w:rsidRDefault="00B07FFE">
            <w:pPr>
              <w:pStyle w:val="TableParagraph"/>
              <w:spacing w:line="247" w:lineRule="exact"/>
              <w:ind w:left="107"/>
            </w:pPr>
            <w:r>
              <w:t>1 (-3 – 10)</w:t>
            </w:r>
          </w:p>
        </w:tc>
      </w:tr>
      <w:tr w:rsidR="00A92E6F" w14:paraId="6F804212" w14:textId="77777777">
        <w:trPr>
          <w:trHeight w:val="292"/>
        </w:trPr>
        <w:tc>
          <w:tcPr>
            <w:tcW w:w="9290" w:type="dxa"/>
            <w:gridSpan w:val="4"/>
          </w:tcPr>
          <w:p w14:paraId="6F804211" w14:textId="77777777" w:rsidR="00A92E6F" w:rsidRDefault="00B07FFE">
            <w:pPr>
              <w:pStyle w:val="TableParagraph"/>
              <w:spacing w:line="247" w:lineRule="exact"/>
              <w:ind w:left="108"/>
            </w:pPr>
            <w:r>
              <w:t>Estrógeno-progesterona, oral combinada</w:t>
            </w:r>
          </w:p>
        </w:tc>
      </w:tr>
      <w:tr w:rsidR="00A92E6F" w14:paraId="6F804217" w14:textId="77777777">
        <w:trPr>
          <w:trHeight w:val="290"/>
        </w:trPr>
        <w:tc>
          <w:tcPr>
            <w:tcW w:w="2321" w:type="dxa"/>
          </w:tcPr>
          <w:p w14:paraId="6F804213" w14:textId="77777777" w:rsidR="00A92E6F" w:rsidRDefault="00B07FFE">
            <w:pPr>
              <w:pStyle w:val="TableParagraph"/>
              <w:spacing w:line="247" w:lineRule="exact"/>
              <w:ind w:left="108"/>
            </w:pPr>
            <w:r>
              <w:t>50-59</w:t>
            </w:r>
          </w:p>
        </w:tc>
        <w:tc>
          <w:tcPr>
            <w:tcW w:w="2324" w:type="dxa"/>
          </w:tcPr>
          <w:p w14:paraId="6F804214" w14:textId="77777777" w:rsidR="00A92E6F" w:rsidRDefault="00B07FFE">
            <w:pPr>
              <w:pStyle w:val="TableParagraph"/>
              <w:spacing w:line="247" w:lineRule="exact"/>
              <w:ind w:left="108"/>
            </w:pPr>
            <w:r>
              <w:t>4</w:t>
            </w:r>
          </w:p>
        </w:tc>
        <w:tc>
          <w:tcPr>
            <w:tcW w:w="2321" w:type="dxa"/>
          </w:tcPr>
          <w:p w14:paraId="6F804215" w14:textId="77777777" w:rsidR="00A92E6F" w:rsidRDefault="00B07FFE">
            <w:pPr>
              <w:pStyle w:val="TableParagraph"/>
              <w:spacing w:line="247" w:lineRule="exact"/>
              <w:ind w:left="105"/>
            </w:pPr>
            <w:r>
              <w:t>2,3 (1,2 – 4,3)</w:t>
            </w:r>
          </w:p>
        </w:tc>
        <w:tc>
          <w:tcPr>
            <w:tcW w:w="2324" w:type="dxa"/>
          </w:tcPr>
          <w:p w14:paraId="6F804216" w14:textId="77777777" w:rsidR="00A92E6F" w:rsidRDefault="00B07FFE">
            <w:pPr>
              <w:pStyle w:val="TableParagraph"/>
              <w:spacing w:line="247" w:lineRule="exact"/>
              <w:ind w:left="107"/>
            </w:pPr>
            <w:r>
              <w:t>5 (1 – 13)</w:t>
            </w:r>
          </w:p>
        </w:tc>
      </w:tr>
      <w:tr w:rsidR="00A92E6F" w14:paraId="6F804219" w14:textId="77777777">
        <w:trPr>
          <w:trHeight w:val="290"/>
        </w:trPr>
        <w:tc>
          <w:tcPr>
            <w:tcW w:w="9290" w:type="dxa"/>
            <w:gridSpan w:val="4"/>
          </w:tcPr>
          <w:p w14:paraId="6F804218" w14:textId="77777777" w:rsidR="00A92E6F" w:rsidRDefault="00B07FFE">
            <w:pPr>
              <w:pStyle w:val="TableParagraph"/>
              <w:spacing w:line="247" w:lineRule="exact"/>
              <w:ind w:left="108"/>
            </w:pPr>
            <w:r>
              <w:t>*4 Estudio en mujeres sin útero</w:t>
            </w:r>
          </w:p>
        </w:tc>
      </w:tr>
    </w:tbl>
    <w:p w14:paraId="6F80421A" w14:textId="77777777" w:rsidR="00A92E6F" w:rsidRDefault="00A92E6F">
      <w:pPr>
        <w:pStyle w:val="Textoindependiente"/>
        <w:spacing w:before="3"/>
        <w:rPr>
          <w:b/>
          <w:sz w:val="25"/>
        </w:rPr>
      </w:pPr>
    </w:p>
    <w:p w14:paraId="6F80421B" w14:textId="77777777" w:rsidR="00A92E6F" w:rsidRDefault="00B07FFE">
      <w:pPr>
        <w:spacing w:before="1"/>
        <w:ind w:left="217"/>
        <w:jc w:val="both"/>
        <w:rPr>
          <w:b/>
        </w:rPr>
      </w:pPr>
      <w:r>
        <w:rPr>
          <w:b/>
          <w:u w:val="thick"/>
        </w:rPr>
        <w:t>Riesgo de enfermedad coronaria arterial:</w:t>
      </w:r>
    </w:p>
    <w:p w14:paraId="6F80421C" w14:textId="77777777" w:rsidR="00A92E6F" w:rsidRDefault="00A92E6F">
      <w:pPr>
        <w:pStyle w:val="Textoindependiente"/>
        <w:spacing w:before="1"/>
        <w:rPr>
          <w:b/>
          <w:sz w:val="20"/>
        </w:rPr>
      </w:pPr>
    </w:p>
    <w:p w14:paraId="6F80421D" w14:textId="77777777" w:rsidR="00A92E6F" w:rsidRDefault="00B07FFE">
      <w:pPr>
        <w:pStyle w:val="Textoindependiente"/>
        <w:spacing w:before="92" w:line="276" w:lineRule="auto"/>
        <w:ind w:left="217" w:right="721"/>
      </w:pPr>
      <w:r>
        <w:t>El riesgo de enfermedad coronaria arterial está ligeramente aumentado en las mujeres que utilizan THS combinada estrógeno-progestágeno a partir de los 60 años (ver sección 4.4).</w:t>
      </w:r>
    </w:p>
    <w:p w14:paraId="6F80421E" w14:textId="77777777" w:rsidR="00A92E6F" w:rsidRDefault="00A92E6F">
      <w:pPr>
        <w:pStyle w:val="Textoindependiente"/>
        <w:spacing w:before="9"/>
        <w:rPr>
          <w:sz w:val="25"/>
        </w:rPr>
      </w:pPr>
    </w:p>
    <w:p w14:paraId="6F80421F" w14:textId="77777777" w:rsidR="00A92E6F" w:rsidRDefault="00B07FFE">
      <w:pPr>
        <w:pStyle w:val="Ttulo1"/>
      </w:pPr>
      <w:r>
        <w:rPr>
          <w:u w:val="thick"/>
        </w:rPr>
        <w:t>Riesgo de accidente cerebrovascular:</w:t>
      </w:r>
    </w:p>
    <w:p w14:paraId="6F804220" w14:textId="77777777" w:rsidR="00A92E6F" w:rsidRDefault="00A92E6F">
      <w:pPr>
        <w:pStyle w:val="Textoindependiente"/>
        <w:spacing w:before="2"/>
        <w:rPr>
          <w:b/>
          <w:sz w:val="20"/>
        </w:rPr>
      </w:pPr>
    </w:p>
    <w:p w14:paraId="6F804221" w14:textId="77777777" w:rsidR="00A92E6F" w:rsidRDefault="00B07FFE">
      <w:pPr>
        <w:pStyle w:val="Prrafodelista"/>
        <w:numPr>
          <w:ilvl w:val="0"/>
          <w:numId w:val="3"/>
        </w:numPr>
        <w:tabs>
          <w:tab w:val="left" w:pos="784"/>
        </w:tabs>
        <w:spacing w:before="97" w:line="232" w:lineRule="auto"/>
        <w:ind w:left="783" w:right="613" w:hanging="566"/>
        <w:jc w:val="both"/>
      </w:pPr>
      <w:r>
        <w:t>El uso de estrógenos solos y de terapia estrógeno progestágeno está asociada a un aumento del riesgo relativo de accidente cerebrovascular de hasta 1,5 veces. El riesgo de accidente cerebrovascular con hemorragia no está aumentado durante el uso de</w:t>
      </w:r>
      <w:r>
        <w:rPr>
          <w:spacing w:val="-4"/>
        </w:rPr>
        <w:t xml:space="preserve"> </w:t>
      </w:r>
      <w:r>
        <w:t>THS.</w:t>
      </w:r>
    </w:p>
    <w:p w14:paraId="6F804222" w14:textId="77777777" w:rsidR="00A92E6F" w:rsidRDefault="00A92E6F">
      <w:pPr>
        <w:pStyle w:val="Textoindependiente"/>
        <w:spacing w:before="11"/>
        <w:rPr>
          <w:sz w:val="25"/>
        </w:rPr>
      </w:pPr>
    </w:p>
    <w:p w14:paraId="6F804223" w14:textId="60F1F3F6" w:rsidR="00A92E6F" w:rsidRDefault="00B07FFE">
      <w:pPr>
        <w:pStyle w:val="Prrafodelista"/>
        <w:numPr>
          <w:ilvl w:val="0"/>
          <w:numId w:val="3"/>
        </w:numPr>
        <w:tabs>
          <w:tab w:val="left" w:pos="784"/>
        </w:tabs>
        <w:spacing w:line="230" w:lineRule="auto"/>
        <w:ind w:left="783" w:right="613" w:hanging="566"/>
        <w:jc w:val="both"/>
      </w:pPr>
      <w:r>
        <w:t xml:space="preserve">Este riesgo relativo no depende de la edad o de la duración de uso, pero dado que el riesgo basal depende fuertemente de la edad, el riesgo general de accidente cerebrovascular en </w:t>
      </w:r>
      <w:r>
        <w:lastRenderedPageBreak/>
        <w:t>mujeres que utilizan THS aumentará con la edad, ver sección</w:t>
      </w:r>
      <w:r>
        <w:rPr>
          <w:spacing w:val="-10"/>
        </w:rPr>
        <w:t xml:space="preserve"> </w:t>
      </w:r>
      <w:r>
        <w:t>4.4.</w:t>
      </w:r>
    </w:p>
    <w:p w14:paraId="6F804224" w14:textId="77777777" w:rsidR="00A92E6F" w:rsidRDefault="00A92E6F">
      <w:pPr>
        <w:pStyle w:val="Textoindependiente"/>
        <w:rPr>
          <w:sz w:val="26"/>
        </w:rPr>
      </w:pPr>
    </w:p>
    <w:p w14:paraId="6F804225" w14:textId="77777777" w:rsidR="00A92E6F" w:rsidRDefault="00B07FFE">
      <w:pPr>
        <w:pStyle w:val="Ttulo1"/>
        <w:spacing w:after="3" w:line="276" w:lineRule="auto"/>
        <w:ind w:left="783" w:right="721"/>
      </w:pPr>
      <w:r>
        <w:t>Estudios combinados WHI – Riesgo adicional de accidente cerebrovascular*5 a partir de 5 años de uso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4"/>
        <w:gridCol w:w="2321"/>
        <w:gridCol w:w="2324"/>
      </w:tblGrid>
      <w:tr w:rsidR="00A92E6F" w14:paraId="6F80422C" w14:textId="77777777">
        <w:trPr>
          <w:trHeight w:val="1164"/>
        </w:trPr>
        <w:tc>
          <w:tcPr>
            <w:tcW w:w="2321" w:type="dxa"/>
          </w:tcPr>
          <w:p w14:paraId="6F804226" w14:textId="77777777" w:rsidR="00A92E6F" w:rsidRDefault="00B07FFE">
            <w:pPr>
              <w:pStyle w:val="TableParagraph"/>
              <w:spacing w:line="247" w:lineRule="exact"/>
              <w:ind w:left="108"/>
            </w:pPr>
            <w:r>
              <w:t>Rango de edad (años)</w:t>
            </w:r>
          </w:p>
        </w:tc>
        <w:tc>
          <w:tcPr>
            <w:tcW w:w="2324" w:type="dxa"/>
          </w:tcPr>
          <w:p w14:paraId="6F804227" w14:textId="77777777" w:rsidR="00A92E6F" w:rsidRDefault="00B07FFE">
            <w:pPr>
              <w:pStyle w:val="TableParagraph"/>
              <w:tabs>
                <w:tab w:val="left" w:pos="1270"/>
                <w:tab w:val="left" w:pos="1810"/>
              </w:tabs>
              <w:spacing w:line="247" w:lineRule="exact"/>
              <w:ind w:left="108"/>
            </w:pPr>
            <w:r>
              <w:t>Incidencia</w:t>
            </w:r>
            <w:r>
              <w:tab/>
              <w:t>por</w:t>
            </w:r>
            <w:r>
              <w:tab/>
              <w:t>cada</w:t>
            </w:r>
          </w:p>
          <w:p w14:paraId="6F804228" w14:textId="77777777" w:rsidR="00A92E6F" w:rsidRDefault="00B07FFE">
            <w:pPr>
              <w:pStyle w:val="TableParagraph"/>
              <w:spacing w:before="37"/>
              <w:ind w:left="108"/>
            </w:pPr>
            <w:r>
              <w:t xml:space="preserve">1.000    mujeres   en </w:t>
            </w:r>
            <w:r>
              <w:rPr>
                <w:spacing w:val="51"/>
              </w:rPr>
              <w:t xml:space="preserve"> </w:t>
            </w:r>
            <w:r>
              <w:t>el</w:t>
            </w:r>
          </w:p>
          <w:p w14:paraId="6F804229" w14:textId="77777777" w:rsidR="00A92E6F" w:rsidRDefault="00B07FFE">
            <w:pPr>
              <w:pStyle w:val="TableParagraph"/>
              <w:spacing w:before="1" w:line="290" w:lineRule="atLeast"/>
              <w:ind w:left="108" w:right="119"/>
            </w:pPr>
            <w:r>
              <w:t xml:space="preserve">brazo de placebo </w:t>
            </w:r>
            <w:r>
              <w:rPr>
                <w:spacing w:val="-7"/>
              </w:rPr>
              <w:t xml:space="preserve">más </w:t>
            </w:r>
            <w:r>
              <w:t>de 5</w:t>
            </w:r>
            <w:r>
              <w:rPr>
                <w:spacing w:val="-1"/>
              </w:rPr>
              <w:t xml:space="preserve"> </w:t>
            </w:r>
            <w:r>
              <w:t>años</w:t>
            </w:r>
          </w:p>
        </w:tc>
        <w:tc>
          <w:tcPr>
            <w:tcW w:w="2321" w:type="dxa"/>
          </w:tcPr>
          <w:p w14:paraId="6F80422A" w14:textId="77777777" w:rsidR="00A92E6F" w:rsidRDefault="00B07FFE">
            <w:pPr>
              <w:pStyle w:val="TableParagraph"/>
              <w:spacing w:line="276" w:lineRule="auto"/>
              <w:ind w:left="105" w:right="149"/>
            </w:pPr>
            <w:r>
              <w:t xml:space="preserve">Proporción de  </w:t>
            </w:r>
            <w:r>
              <w:rPr>
                <w:spacing w:val="-4"/>
              </w:rPr>
              <w:t xml:space="preserve">Riesgo </w:t>
            </w:r>
            <w:r>
              <w:t>&amp; IC del 95 %</w:t>
            </w:r>
          </w:p>
        </w:tc>
        <w:tc>
          <w:tcPr>
            <w:tcW w:w="2324" w:type="dxa"/>
          </w:tcPr>
          <w:p w14:paraId="6F80422B" w14:textId="77777777" w:rsidR="00A92E6F" w:rsidRDefault="00B07FFE">
            <w:pPr>
              <w:pStyle w:val="TableParagraph"/>
              <w:spacing w:line="276" w:lineRule="auto"/>
              <w:ind w:left="107" w:right="96"/>
              <w:jc w:val="both"/>
            </w:pPr>
            <w:r>
              <w:t>Casos adicionales por cada 1.000 usuarias de THS</w:t>
            </w:r>
          </w:p>
        </w:tc>
      </w:tr>
      <w:tr w:rsidR="00A92E6F" w14:paraId="6F804231" w14:textId="77777777">
        <w:trPr>
          <w:trHeight w:val="290"/>
        </w:trPr>
        <w:tc>
          <w:tcPr>
            <w:tcW w:w="2321" w:type="dxa"/>
          </w:tcPr>
          <w:p w14:paraId="6F80422D" w14:textId="77777777" w:rsidR="00A92E6F" w:rsidRDefault="00B07FFE">
            <w:pPr>
              <w:pStyle w:val="TableParagraph"/>
              <w:spacing w:line="247" w:lineRule="exact"/>
              <w:ind w:left="108"/>
            </w:pPr>
            <w:r>
              <w:t>50-59</w:t>
            </w:r>
          </w:p>
        </w:tc>
        <w:tc>
          <w:tcPr>
            <w:tcW w:w="2324" w:type="dxa"/>
          </w:tcPr>
          <w:p w14:paraId="6F80422E" w14:textId="77777777" w:rsidR="00A92E6F" w:rsidRDefault="00B07FFE">
            <w:pPr>
              <w:pStyle w:val="TableParagraph"/>
              <w:spacing w:line="247" w:lineRule="exact"/>
              <w:ind w:left="108"/>
            </w:pPr>
            <w:r>
              <w:t>8</w:t>
            </w:r>
          </w:p>
        </w:tc>
        <w:tc>
          <w:tcPr>
            <w:tcW w:w="2321" w:type="dxa"/>
          </w:tcPr>
          <w:p w14:paraId="6F80422F" w14:textId="77777777" w:rsidR="00A92E6F" w:rsidRDefault="00B07FFE">
            <w:pPr>
              <w:pStyle w:val="TableParagraph"/>
              <w:spacing w:line="247" w:lineRule="exact"/>
              <w:ind w:left="105"/>
            </w:pPr>
            <w:r>
              <w:t>1,3 (1,1 – 1,6)</w:t>
            </w:r>
          </w:p>
        </w:tc>
        <w:tc>
          <w:tcPr>
            <w:tcW w:w="2324" w:type="dxa"/>
          </w:tcPr>
          <w:p w14:paraId="6F804230" w14:textId="77777777" w:rsidR="00A92E6F" w:rsidRDefault="00B07FFE">
            <w:pPr>
              <w:pStyle w:val="TableParagraph"/>
              <w:spacing w:line="247" w:lineRule="exact"/>
              <w:ind w:left="107"/>
            </w:pPr>
            <w:r>
              <w:t>3 (1 – 5)</w:t>
            </w:r>
          </w:p>
        </w:tc>
      </w:tr>
      <w:tr w:rsidR="00A92E6F" w14:paraId="6F804233" w14:textId="77777777">
        <w:trPr>
          <w:trHeight w:val="292"/>
        </w:trPr>
        <w:tc>
          <w:tcPr>
            <w:tcW w:w="9290" w:type="dxa"/>
            <w:gridSpan w:val="4"/>
          </w:tcPr>
          <w:p w14:paraId="6F804232" w14:textId="77777777" w:rsidR="00A92E6F" w:rsidRDefault="00B07FFE">
            <w:pPr>
              <w:pStyle w:val="TableParagraph"/>
              <w:spacing w:line="251" w:lineRule="exact"/>
              <w:ind w:left="108"/>
              <w:rPr>
                <w:b/>
              </w:rPr>
            </w:pPr>
            <w:r>
              <w:rPr>
                <w:b/>
              </w:rPr>
              <w:t>*5 No hubo diferencias entre el accidente cerebrovascular isquémico y hemorrágico.</w:t>
            </w:r>
          </w:p>
        </w:tc>
      </w:tr>
    </w:tbl>
    <w:p w14:paraId="6F804234" w14:textId="77777777" w:rsidR="00A92E6F" w:rsidRDefault="00A92E6F">
      <w:pPr>
        <w:pStyle w:val="Textoindependiente"/>
        <w:spacing w:before="8"/>
        <w:rPr>
          <w:b/>
          <w:sz w:val="24"/>
        </w:rPr>
      </w:pPr>
    </w:p>
    <w:p w14:paraId="6F80423A" w14:textId="5D13C1A9" w:rsidR="00A92E6F" w:rsidRDefault="00B07FFE" w:rsidP="00E94B1B">
      <w:pPr>
        <w:pStyle w:val="Textoindependiente"/>
        <w:spacing w:line="276" w:lineRule="auto"/>
        <w:ind w:left="217"/>
        <w:rPr>
          <w:sz w:val="20"/>
        </w:rPr>
      </w:pPr>
      <w:r>
        <w:t>Se han descrito otras reacciones adversas asociadas con el tratamiento de estrógeno solo o combinado estrógeno/progestágeno:</w:t>
      </w:r>
    </w:p>
    <w:p w14:paraId="6F80423B" w14:textId="77777777" w:rsidR="00A92E6F" w:rsidRDefault="00A92E6F">
      <w:pPr>
        <w:pStyle w:val="Textoindependiente"/>
        <w:spacing w:before="8"/>
        <w:rPr>
          <w:sz w:val="23"/>
        </w:rPr>
      </w:pPr>
    </w:p>
    <w:p w14:paraId="6F80423C" w14:textId="77777777" w:rsidR="00A92E6F" w:rsidRDefault="00B07FFE">
      <w:pPr>
        <w:pStyle w:val="Prrafodelista"/>
        <w:numPr>
          <w:ilvl w:val="0"/>
          <w:numId w:val="4"/>
        </w:numPr>
        <w:tabs>
          <w:tab w:val="left" w:pos="783"/>
          <w:tab w:val="left" w:pos="784"/>
        </w:tabs>
        <w:spacing w:before="1"/>
        <w:ind w:left="783" w:hanging="566"/>
      </w:pPr>
      <w:r>
        <w:t>neoplasias estrógeno-dependientes benignas o malignas, p.ej. cáncer de</w:t>
      </w:r>
      <w:r>
        <w:rPr>
          <w:spacing w:val="-9"/>
        </w:rPr>
        <w:t xml:space="preserve"> </w:t>
      </w:r>
      <w:r>
        <w:t>endometrio,</w:t>
      </w:r>
    </w:p>
    <w:p w14:paraId="6F80423D" w14:textId="77777777" w:rsidR="00A92E6F" w:rsidRDefault="00B07FFE">
      <w:pPr>
        <w:pStyle w:val="Prrafodelista"/>
        <w:numPr>
          <w:ilvl w:val="0"/>
          <w:numId w:val="4"/>
        </w:numPr>
        <w:tabs>
          <w:tab w:val="left" w:pos="784"/>
        </w:tabs>
        <w:spacing w:before="40" w:line="276" w:lineRule="auto"/>
        <w:ind w:left="783" w:right="613" w:hanging="566"/>
        <w:jc w:val="both"/>
      </w:pPr>
      <w:r>
        <w:t>tromboembolismo venoso, p.ej. trombosis venosa profunda en piernas o pelvis y embolismo pulmonar, exacerbación de venas varicosas, hipertensión (ver secciones 4.3 Contraindicaciones y 4.4 Advertencias y Precauciones Especiales de</w:t>
      </w:r>
      <w:r>
        <w:rPr>
          <w:spacing w:val="-4"/>
        </w:rPr>
        <w:t xml:space="preserve"> </w:t>
      </w:r>
      <w:r>
        <w:t>Empleo).</w:t>
      </w:r>
    </w:p>
    <w:p w14:paraId="6F80423E" w14:textId="77777777" w:rsidR="00A92E6F" w:rsidRDefault="00B07FFE">
      <w:pPr>
        <w:pStyle w:val="Prrafodelista"/>
        <w:numPr>
          <w:ilvl w:val="0"/>
          <w:numId w:val="4"/>
        </w:numPr>
        <w:tabs>
          <w:tab w:val="left" w:pos="783"/>
          <w:tab w:val="left" w:pos="784"/>
        </w:tabs>
        <w:spacing w:line="269" w:lineRule="exact"/>
        <w:ind w:left="783" w:hanging="566"/>
      </w:pPr>
      <w:r>
        <w:t>infarto de</w:t>
      </w:r>
      <w:r>
        <w:rPr>
          <w:spacing w:val="-1"/>
        </w:rPr>
        <w:t xml:space="preserve"> </w:t>
      </w:r>
      <w:r>
        <w:t>miocardio,</w:t>
      </w:r>
    </w:p>
    <w:p w14:paraId="6F80423F" w14:textId="77777777" w:rsidR="00A92E6F" w:rsidRDefault="00B07FFE">
      <w:pPr>
        <w:pStyle w:val="Prrafodelista"/>
        <w:numPr>
          <w:ilvl w:val="0"/>
          <w:numId w:val="4"/>
        </w:numPr>
        <w:tabs>
          <w:tab w:val="left" w:pos="783"/>
          <w:tab w:val="left" w:pos="784"/>
        </w:tabs>
        <w:spacing w:before="42"/>
        <w:ind w:left="783" w:hanging="566"/>
      </w:pPr>
      <w:r>
        <w:t>accidente vascular</w:t>
      </w:r>
      <w:r>
        <w:rPr>
          <w:spacing w:val="-1"/>
        </w:rPr>
        <w:t xml:space="preserve"> </w:t>
      </w:r>
      <w:r>
        <w:t>cerebral,</w:t>
      </w:r>
    </w:p>
    <w:p w14:paraId="6F804240" w14:textId="77777777" w:rsidR="00A92E6F" w:rsidRDefault="00B07FFE">
      <w:pPr>
        <w:pStyle w:val="Prrafodelista"/>
        <w:numPr>
          <w:ilvl w:val="0"/>
          <w:numId w:val="4"/>
        </w:numPr>
        <w:tabs>
          <w:tab w:val="left" w:pos="784"/>
        </w:tabs>
        <w:spacing w:before="40" w:line="276" w:lineRule="auto"/>
        <w:ind w:left="783" w:right="614" w:hanging="566"/>
        <w:jc w:val="both"/>
      </w:pPr>
      <w:r>
        <w:t>alteraciones del tejido subcutáneo y de la piel: cloasma, eritema multiforme, eritema nodoso, púrpura vascular, dermatitis de contacto, alteraciones de la pigmentación, prurito generalizado, exantema, urticaria y</w:t>
      </w:r>
      <w:r>
        <w:rPr>
          <w:spacing w:val="-3"/>
        </w:rPr>
        <w:t xml:space="preserve"> </w:t>
      </w:r>
      <w:r>
        <w:t>angioedema.</w:t>
      </w:r>
    </w:p>
    <w:p w14:paraId="6F804241" w14:textId="77777777" w:rsidR="00A92E6F" w:rsidRDefault="00B07FFE">
      <w:pPr>
        <w:pStyle w:val="Prrafodelista"/>
        <w:numPr>
          <w:ilvl w:val="0"/>
          <w:numId w:val="4"/>
        </w:numPr>
        <w:tabs>
          <w:tab w:val="left" w:pos="783"/>
          <w:tab w:val="left" w:pos="784"/>
        </w:tabs>
        <w:spacing w:line="268" w:lineRule="exact"/>
        <w:ind w:left="783" w:hanging="566"/>
      </w:pPr>
      <w:r>
        <w:t>alteración de la vesícula</w:t>
      </w:r>
      <w:r>
        <w:rPr>
          <w:spacing w:val="-3"/>
        </w:rPr>
        <w:t xml:space="preserve"> </w:t>
      </w:r>
      <w:r>
        <w:t>biliar</w:t>
      </w:r>
    </w:p>
    <w:p w14:paraId="6F804242" w14:textId="0BB01D18" w:rsidR="00A92E6F" w:rsidRDefault="00B07FFE">
      <w:pPr>
        <w:pStyle w:val="Prrafodelista"/>
        <w:numPr>
          <w:ilvl w:val="0"/>
          <w:numId w:val="4"/>
        </w:numPr>
        <w:tabs>
          <w:tab w:val="left" w:pos="783"/>
          <w:tab w:val="left" w:pos="784"/>
        </w:tabs>
        <w:spacing w:before="40"/>
        <w:ind w:left="783" w:hanging="566"/>
      </w:pPr>
      <w:r>
        <w:t>Probable demencia a partir de 65 años (ver</w:t>
      </w:r>
      <w:r>
        <w:rPr>
          <w:spacing w:val="-6"/>
        </w:rPr>
        <w:t xml:space="preserve"> </w:t>
      </w:r>
      <w:r>
        <w:t>sección</w:t>
      </w:r>
      <w:r w:rsidR="004D7AB6">
        <w:t xml:space="preserve"> </w:t>
      </w:r>
      <w:r>
        <w:t>4.4.)</w:t>
      </w:r>
    </w:p>
    <w:p w14:paraId="6F804243" w14:textId="77777777" w:rsidR="00A92E6F" w:rsidRDefault="00A92E6F">
      <w:pPr>
        <w:pStyle w:val="Textoindependiente"/>
        <w:spacing w:before="10"/>
        <w:rPr>
          <w:sz w:val="28"/>
        </w:rPr>
      </w:pPr>
    </w:p>
    <w:p w14:paraId="6F804244" w14:textId="77777777" w:rsidR="00A92E6F" w:rsidRDefault="00B07FFE">
      <w:pPr>
        <w:pStyle w:val="Textoindependiente"/>
        <w:spacing w:line="480" w:lineRule="auto"/>
        <w:ind w:left="217" w:right="696"/>
      </w:pPr>
      <w:r>
        <w:t xml:space="preserve">Si se presentan algunos de estos efectos el tratamiento con EVOPAD debe discontinuarse inmediatamente. </w:t>
      </w:r>
      <w:r>
        <w:rPr>
          <w:u w:val="single"/>
        </w:rPr>
        <w:t>Notificación de sospechas de reacciones adversas:</w:t>
      </w:r>
    </w:p>
    <w:p w14:paraId="6F804245" w14:textId="77777777" w:rsidR="00A92E6F" w:rsidRDefault="00B07FFE">
      <w:pPr>
        <w:pStyle w:val="Textoindependiente"/>
        <w:spacing w:before="76" w:line="276" w:lineRule="auto"/>
        <w:ind w:left="217" w:right="721"/>
      </w:pPr>
      <w:r>
        <w:t>Es importante notificar las sospechas de reacciones adversas al medicamento tras su autorización. Ello permite una supervisión continuada de la relación beneficio/riesgo del medicamento. Se invita a los profesionales sanitarios a notificar las sospechas de reacciones adversas a través del Sistema Español de Farmacovigilancia de Medicamentos de Uso Humano:https://</w:t>
      </w:r>
      <w:hyperlink r:id="rId13">
        <w:r>
          <w:t>www.notificaram.es/</w:t>
        </w:r>
      </w:hyperlink>
    </w:p>
    <w:p w14:paraId="6F804246" w14:textId="77777777" w:rsidR="00A92E6F" w:rsidRDefault="00B07FFE">
      <w:pPr>
        <w:pStyle w:val="Ttulo1"/>
        <w:numPr>
          <w:ilvl w:val="1"/>
          <w:numId w:val="5"/>
        </w:numPr>
        <w:tabs>
          <w:tab w:val="left" w:pos="549"/>
        </w:tabs>
        <w:spacing w:before="204"/>
        <w:ind w:hanging="331"/>
      </w:pPr>
      <w:r>
        <w:t>Sobredosis</w:t>
      </w:r>
    </w:p>
    <w:p w14:paraId="6F804247" w14:textId="77777777" w:rsidR="00A92E6F" w:rsidRDefault="00A92E6F">
      <w:pPr>
        <w:pStyle w:val="Textoindependiente"/>
        <w:spacing w:before="4"/>
        <w:rPr>
          <w:b/>
          <w:sz w:val="20"/>
        </w:rPr>
      </w:pPr>
    </w:p>
    <w:p w14:paraId="6F804248" w14:textId="3D28FD15" w:rsidR="00A92E6F" w:rsidRDefault="00B07FFE">
      <w:pPr>
        <w:pStyle w:val="Textoindependiente"/>
        <w:spacing w:before="1" w:line="276" w:lineRule="auto"/>
        <w:ind w:left="217" w:right="661"/>
      </w:pPr>
      <w:r>
        <w:t>Es poco probable que se produzca sobredosis con este tipo de aplicación. Los síntomas de sobredosis pueden consistir en sensibilidad o dolor de las mamas, hemorragia intercurrente. En algunas mujeres también pueden producirse n</w:t>
      </w:r>
      <w:r w:rsidR="00316062">
        <w:t>á</w:t>
      </w:r>
      <w:r>
        <w:t>useas, vómitos e interrupción del sangrado. No existe un antídoto específico y el tratamiento a administrar deberá ser sintomático. Se pueden revertir estos síntomas retirando el parche.</w:t>
      </w:r>
    </w:p>
    <w:p w14:paraId="6F804249" w14:textId="77777777" w:rsidR="00A92E6F" w:rsidRDefault="00A92E6F">
      <w:pPr>
        <w:pStyle w:val="Textoindependiente"/>
        <w:spacing w:before="3"/>
        <w:rPr>
          <w:sz w:val="25"/>
        </w:rPr>
      </w:pPr>
    </w:p>
    <w:p w14:paraId="6F80427B" w14:textId="573ED66B" w:rsidR="00A92E6F" w:rsidRDefault="00B07FFE" w:rsidP="00E94B1B">
      <w:pPr>
        <w:pStyle w:val="Textoindependiente"/>
        <w:spacing w:line="276" w:lineRule="auto"/>
        <w:ind w:left="217" w:right="1118"/>
        <w:rPr>
          <w:sz w:val="20"/>
        </w:rPr>
      </w:pPr>
      <w:r>
        <w:t>Los estudios de toxicidad aguda no indican un riesgo de efectos adversos agudos en el caso de ingesta inadvertida de varias do</w:t>
      </w:r>
      <w:r w:rsidR="00A50424">
        <w:t>s</w:t>
      </w:r>
      <w:r>
        <w:t>is terapéuticas diarias.</w:t>
      </w:r>
    </w:p>
    <w:p w14:paraId="6F80427C" w14:textId="77777777" w:rsidR="00A92E6F" w:rsidRDefault="00A92E6F">
      <w:pPr>
        <w:pStyle w:val="Textoindependiente"/>
        <w:rPr>
          <w:sz w:val="20"/>
        </w:rPr>
      </w:pPr>
    </w:p>
    <w:p w14:paraId="6F80427D" w14:textId="77777777" w:rsidR="00A92E6F" w:rsidRDefault="00A92E6F">
      <w:pPr>
        <w:pStyle w:val="Textoindependiente"/>
        <w:spacing w:before="10"/>
        <w:rPr>
          <w:sz w:val="15"/>
        </w:rPr>
      </w:pPr>
    </w:p>
    <w:p w14:paraId="6F80427E" w14:textId="77777777" w:rsidR="00A92E6F" w:rsidRDefault="00B07FFE">
      <w:pPr>
        <w:pStyle w:val="Ttulo1"/>
        <w:numPr>
          <w:ilvl w:val="0"/>
          <w:numId w:val="2"/>
        </w:numPr>
        <w:tabs>
          <w:tab w:val="left" w:pos="383"/>
        </w:tabs>
        <w:spacing w:before="92"/>
        <w:ind w:hanging="165"/>
      </w:pPr>
      <w:r>
        <w:t>. DATOS</w:t>
      </w:r>
      <w:r>
        <w:rPr>
          <w:spacing w:val="-4"/>
        </w:rPr>
        <w:t xml:space="preserve"> </w:t>
      </w:r>
      <w:r>
        <w:t>FARMACÉUTICOS</w:t>
      </w:r>
    </w:p>
    <w:p w14:paraId="6F80427F" w14:textId="77777777" w:rsidR="00A92E6F" w:rsidRDefault="00A92E6F">
      <w:pPr>
        <w:pStyle w:val="Textoindependiente"/>
        <w:spacing w:before="9"/>
        <w:rPr>
          <w:b/>
          <w:sz w:val="20"/>
        </w:rPr>
      </w:pPr>
    </w:p>
    <w:p w14:paraId="6F804280" w14:textId="77777777" w:rsidR="00A92E6F" w:rsidRDefault="00B07FFE">
      <w:pPr>
        <w:pStyle w:val="Prrafodelista"/>
        <w:numPr>
          <w:ilvl w:val="1"/>
          <w:numId w:val="2"/>
        </w:numPr>
        <w:tabs>
          <w:tab w:val="left" w:pos="549"/>
        </w:tabs>
        <w:ind w:hanging="331"/>
        <w:rPr>
          <w:b/>
        </w:rPr>
      </w:pPr>
      <w:r>
        <w:rPr>
          <w:b/>
        </w:rPr>
        <w:lastRenderedPageBreak/>
        <w:t>Lista de</w:t>
      </w:r>
      <w:r>
        <w:rPr>
          <w:b/>
          <w:spacing w:val="-4"/>
        </w:rPr>
        <w:t xml:space="preserve"> </w:t>
      </w:r>
      <w:r>
        <w:rPr>
          <w:b/>
        </w:rPr>
        <w:t>excipientes</w:t>
      </w:r>
    </w:p>
    <w:p w14:paraId="6F804281" w14:textId="77777777" w:rsidR="00A92E6F" w:rsidRDefault="00A92E6F">
      <w:pPr>
        <w:pStyle w:val="Textoindependiente"/>
        <w:spacing w:before="5"/>
        <w:rPr>
          <w:b/>
          <w:sz w:val="20"/>
        </w:rPr>
      </w:pPr>
    </w:p>
    <w:p w14:paraId="6F804282" w14:textId="5B1C1120" w:rsidR="00A92E6F" w:rsidRDefault="00B07FFE">
      <w:pPr>
        <w:pStyle w:val="Textoindependiente"/>
        <w:spacing w:before="1" w:after="48"/>
        <w:ind w:left="217"/>
      </w:pPr>
      <w:r>
        <w:t xml:space="preserve">EVOPAD 25 </w:t>
      </w:r>
      <w:r>
        <w:rPr>
          <w:rFonts w:ascii="Symbol" w:hAnsi="Symbol"/>
        </w:rPr>
        <w:t></w:t>
      </w:r>
      <w:r>
        <w:t>g/24 h parches</w:t>
      </w:r>
      <w:r>
        <w:rPr>
          <w:spacing w:val="-13"/>
        </w:rPr>
        <w:t xml:space="preserve"> </w:t>
      </w:r>
      <w:r>
        <w:t>transdérmicos</w:t>
      </w:r>
    </w:p>
    <w:tbl>
      <w:tblPr>
        <w:tblStyle w:val="TableNormal"/>
        <w:tblW w:w="0" w:type="auto"/>
        <w:tblInd w:w="840" w:type="dxa"/>
        <w:tblLayout w:type="fixed"/>
        <w:tblLook w:val="01E0" w:firstRow="1" w:lastRow="1" w:firstColumn="1" w:lastColumn="1" w:noHBand="0" w:noVBand="0"/>
      </w:tblPr>
      <w:tblGrid>
        <w:gridCol w:w="4773"/>
        <w:gridCol w:w="3098"/>
      </w:tblGrid>
      <w:tr w:rsidR="00A92E6F" w14:paraId="6F804285" w14:textId="77777777">
        <w:trPr>
          <w:trHeight w:val="267"/>
        </w:trPr>
        <w:tc>
          <w:tcPr>
            <w:tcW w:w="4773" w:type="dxa"/>
          </w:tcPr>
          <w:p w14:paraId="6F804283" w14:textId="77777777" w:rsidR="00A92E6F" w:rsidRDefault="00B07FFE">
            <w:pPr>
              <w:pStyle w:val="TableParagraph"/>
              <w:spacing w:line="244" w:lineRule="exact"/>
              <w:ind w:left="200"/>
            </w:pPr>
            <w:r>
              <w:t>Adhesivo: copolímero de acrilato-vinilacetato</w:t>
            </w:r>
          </w:p>
        </w:tc>
        <w:tc>
          <w:tcPr>
            <w:tcW w:w="3098" w:type="dxa"/>
          </w:tcPr>
          <w:p w14:paraId="6F804284" w14:textId="77777777" w:rsidR="00A92E6F" w:rsidRDefault="00B07FFE">
            <w:pPr>
              <w:pStyle w:val="TableParagraph"/>
              <w:spacing w:line="244" w:lineRule="exact"/>
              <w:ind w:left="107"/>
            </w:pPr>
            <w:r>
              <w:t>59,20 mg</w:t>
            </w:r>
          </w:p>
        </w:tc>
      </w:tr>
      <w:tr w:rsidR="00A92E6F" w14:paraId="6F804288" w14:textId="77777777">
        <w:trPr>
          <w:trHeight w:val="290"/>
        </w:trPr>
        <w:tc>
          <w:tcPr>
            <w:tcW w:w="4773" w:type="dxa"/>
          </w:tcPr>
          <w:p w14:paraId="6F804286" w14:textId="77777777" w:rsidR="00A92E6F" w:rsidRDefault="00B07FFE">
            <w:pPr>
              <w:pStyle w:val="TableParagraph"/>
              <w:spacing w:before="14"/>
              <w:ind w:left="200"/>
            </w:pPr>
            <w:r>
              <w:t>Goma guar</w:t>
            </w:r>
          </w:p>
        </w:tc>
        <w:tc>
          <w:tcPr>
            <w:tcW w:w="3098" w:type="dxa"/>
          </w:tcPr>
          <w:p w14:paraId="6F804287" w14:textId="77777777" w:rsidR="00A92E6F" w:rsidRDefault="00B07FFE">
            <w:pPr>
              <w:pStyle w:val="TableParagraph"/>
              <w:spacing w:before="14"/>
              <w:ind w:left="107"/>
            </w:pPr>
            <w:r>
              <w:t>1,92 mg</w:t>
            </w:r>
          </w:p>
        </w:tc>
      </w:tr>
      <w:tr w:rsidR="00A92E6F" w14:paraId="6F80428C" w14:textId="77777777">
        <w:trPr>
          <w:trHeight w:val="583"/>
        </w:trPr>
        <w:tc>
          <w:tcPr>
            <w:tcW w:w="4773" w:type="dxa"/>
          </w:tcPr>
          <w:p w14:paraId="6F804289" w14:textId="77777777" w:rsidR="00A92E6F" w:rsidRDefault="00B07FFE">
            <w:pPr>
              <w:pStyle w:val="TableParagraph"/>
              <w:tabs>
                <w:tab w:val="left" w:pos="1138"/>
                <w:tab w:val="left" w:pos="2348"/>
                <w:tab w:val="left" w:pos="3228"/>
                <w:tab w:val="left" w:pos="3722"/>
              </w:tabs>
              <w:spacing w:before="14"/>
              <w:ind w:left="200"/>
            </w:pPr>
            <w:r>
              <w:rPr>
                <w:spacing w:val="-4"/>
              </w:rPr>
              <w:t>Lámina</w:t>
            </w:r>
            <w:r>
              <w:rPr>
                <w:spacing w:val="-4"/>
              </w:rPr>
              <w:tab/>
              <w:t>protectora:</w:t>
            </w:r>
            <w:r>
              <w:rPr>
                <w:spacing w:val="-4"/>
              </w:rPr>
              <w:tab/>
            </w:r>
            <w:r>
              <w:t>lámina</w:t>
            </w:r>
            <w:r>
              <w:tab/>
              <w:t>de</w:t>
            </w:r>
            <w:r>
              <w:tab/>
              <w:t>polietileno</w:t>
            </w:r>
          </w:p>
          <w:p w14:paraId="6F80428A" w14:textId="0BEED3A9" w:rsidR="00A92E6F" w:rsidRDefault="002A0F08">
            <w:pPr>
              <w:pStyle w:val="TableParagraph"/>
              <w:spacing w:before="40"/>
              <w:ind w:left="200"/>
            </w:pPr>
            <w:r>
              <w:t>T</w:t>
            </w:r>
            <w:r w:rsidR="00B07FFE">
              <w:t>ereftalato</w:t>
            </w:r>
          </w:p>
        </w:tc>
        <w:tc>
          <w:tcPr>
            <w:tcW w:w="3098" w:type="dxa"/>
          </w:tcPr>
          <w:p w14:paraId="6F80428B" w14:textId="77777777" w:rsidR="00A92E6F" w:rsidRDefault="00B07FFE">
            <w:pPr>
              <w:pStyle w:val="TableParagraph"/>
              <w:spacing w:before="14"/>
              <w:ind w:left="107"/>
            </w:pPr>
            <w:r>
              <w:t>21,12 mg</w:t>
            </w:r>
          </w:p>
        </w:tc>
      </w:tr>
      <w:tr w:rsidR="00A92E6F" w14:paraId="6F804290" w14:textId="77777777">
        <w:trPr>
          <w:trHeight w:val="557"/>
        </w:trPr>
        <w:tc>
          <w:tcPr>
            <w:tcW w:w="4773" w:type="dxa"/>
          </w:tcPr>
          <w:p w14:paraId="6F80428D" w14:textId="77777777" w:rsidR="00A92E6F" w:rsidRDefault="00B07FFE">
            <w:pPr>
              <w:pStyle w:val="TableParagraph"/>
              <w:tabs>
                <w:tab w:val="left" w:pos="1018"/>
                <w:tab w:val="left" w:pos="2429"/>
                <w:tab w:val="left" w:pos="3772"/>
              </w:tabs>
              <w:spacing w:before="14"/>
              <w:ind w:left="200"/>
            </w:pPr>
            <w:r>
              <w:rPr>
                <w:spacing w:val="-3"/>
              </w:rPr>
              <w:t>Hoja</w:t>
            </w:r>
            <w:r>
              <w:rPr>
                <w:spacing w:val="-3"/>
              </w:rPr>
              <w:tab/>
            </w:r>
            <w:r>
              <w:rPr>
                <w:spacing w:val="-4"/>
              </w:rPr>
              <w:t>despegable:</w:t>
            </w:r>
            <w:r>
              <w:rPr>
                <w:spacing w:val="-4"/>
              </w:rPr>
              <w:tab/>
            </w:r>
            <w:r>
              <w:t>polietileno</w:t>
            </w:r>
            <w:r>
              <w:tab/>
              <w:t>tereftalato</w:t>
            </w:r>
          </w:p>
          <w:p w14:paraId="6F80428E" w14:textId="3C383E26" w:rsidR="00A92E6F" w:rsidRDefault="002A0F08">
            <w:pPr>
              <w:pStyle w:val="TableParagraph"/>
              <w:spacing w:before="37" w:line="233" w:lineRule="exact"/>
              <w:ind w:left="200"/>
            </w:pPr>
            <w:r>
              <w:t>S</w:t>
            </w:r>
            <w:r w:rsidR="00B07FFE">
              <w:t>iliconizado</w:t>
            </w:r>
          </w:p>
        </w:tc>
        <w:tc>
          <w:tcPr>
            <w:tcW w:w="3098" w:type="dxa"/>
          </w:tcPr>
          <w:p w14:paraId="6F80428F" w14:textId="77777777" w:rsidR="00A92E6F" w:rsidRDefault="00B07FFE">
            <w:pPr>
              <w:pStyle w:val="TableParagraph"/>
              <w:spacing w:before="14"/>
              <w:ind w:left="107"/>
            </w:pPr>
            <w:r>
              <w:t>(se retira antes de la aplicación)</w:t>
            </w:r>
          </w:p>
        </w:tc>
      </w:tr>
    </w:tbl>
    <w:p w14:paraId="6F804291" w14:textId="77777777" w:rsidR="00A92E6F" w:rsidRDefault="00A92E6F">
      <w:pPr>
        <w:pStyle w:val="Textoindependiente"/>
        <w:spacing w:before="6"/>
        <w:rPr>
          <w:sz w:val="28"/>
        </w:rPr>
      </w:pPr>
    </w:p>
    <w:p w14:paraId="6F804292" w14:textId="5EC9E798" w:rsidR="00A92E6F" w:rsidRDefault="00B07FFE">
      <w:pPr>
        <w:pStyle w:val="Textoindependiente"/>
        <w:spacing w:after="51"/>
        <w:ind w:left="217"/>
      </w:pPr>
      <w:r>
        <w:t xml:space="preserve">EVOPAD 50 </w:t>
      </w:r>
      <w:r>
        <w:rPr>
          <w:rFonts w:ascii="Symbol" w:hAnsi="Symbol"/>
        </w:rPr>
        <w:t></w:t>
      </w:r>
      <w:r>
        <w:t>g/24 h parches</w:t>
      </w:r>
      <w:r>
        <w:rPr>
          <w:spacing w:val="-13"/>
        </w:rPr>
        <w:t xml:space="preserve"> </w:t>
      </w:r>
      <w:r>
        <w:t>transdérmicos</w:t>
      </w:r>
    </w:p>
    <w:tbl>
      <w:tblPr>
        <w:tblStyle w:val="TableNormal"/>
        <w:tblW w:w="0" w:type="auto"/>
        <w:tblInd w:w="840" w:type="dxa"/>
        <w:tblLayout w:type="fixed"/>
        <w:tblLook w:val="01E0" w:firstRow="1" w:lastRow="1" w:firstColumn="1" w:lastColumn="1" w:noHBand="0" w:noVBand="0"/>
      </w:tblPr>
      <w:tblGrid>
        <w:gridCol w:w="4880"/>
        <w:gridCol w:w="3134"/>
      </w:tblGrid>
      <w:tr w:rsidR="00A92E6F" w14:paraId="6F804295" w14:textId="77777777">
        <w:trPr>
          <w:trHeight w:val="267"/>
        </w:trPr>
        <w:tc>
          <w:tcPr>
            <w:tcW w:w="4880" w:type="dxa"/>
          </w:tcPr>
          <w:p w14:paraId="6F804293" w14:textId="77777777" w:rsidR="00A92E6F" w:rsidRDefault="00B07FFE">
            <w:pPr>
              <w:pStyle w:val="TableParagraph"/>
              <w:spacing w:line="244" w:lineRule="exact"/>
              <w:ind w:left="200"/>
            </w:pPr>
            <w:r>
              <w:t>Adhesivo: copolímero de acrilato-vinilacetato</w:t>
            </w:r>
          </w:p>
        </w:tc>
        <w:tc>
          <w:tcPr>
            <w:tcW w:w="3134" w:type="dxa"/>
          </w:tcPr>
          <w:p w14:paraId="6F804294" w14:textId="77777777" w:rsidR="00A92E6F" w:rsidRDefault="00B07FFE">
            <w:pPr>
              <w:pStyle w:val="TableParagraph"/>
              <w:spacing w:line="244" w:lineRule="exact"/>
              <w:ind w:left="142"/>
            </w:pPr>
            <w:r>
              <w:t>118,40 mg</w:t>
            </w:r>
          </w:p>
        </w:tc>
      </w:tr>
      <w:tr w:rsidR="00A92E6F" w14:paraId="6F804298" w14:textId="77777777">
        <w:trPr>
          <w:trHeight w:val="290"/>
        </w:trPr>
        <w:tc>
          <w:tcPr>
            <w:tcW w:w="4880" w:type="dxa"/>
          </w:tcPr>
          <w:p w14:paraId="6F804296" w14:textId="77777777" w:rsidR="00A92E6F" w:rsidRDefault="00B07FFE">
            <w:pPr>
              <w:pStyle w:val="TableParagraph"/>
              <w:spacing w:before="14"/>
              <w:ind w:left="200"/>
            </w:pPr>
            <w:r>
              <w:t>Goma guar</w:t>
            </w:r>
          </w:p>
        </w:tc>
        <w:tc>
          <w:tcPr>
            <w:tcW w:w="3134" w:type="dxa"/>
          </w:tcPr>
          <w:p w14:paraId="6F804297" w14:textId="77777777" w:rsidR="00A92E6F" w:rsidRDefault="00B07FFE">
            <w:pPr>
              <w:pStyle w:val="TableParagraph"/>
              <w:spacing w:before="14"/>
              <w:ind w:left="142"/>
            </w:pPr>
            <w:r>
              <w:t>3,84 mg</w:t>
            </w:r>
          </w:p>
        </w:tc>
      </w:tr>
      <w:tr w:rsidR="00A92E6F" w14:paraId="6F80429B" w14:textId="77777777">
        <w:trPr>
          <w:trHeight w:val="290"/>
        </w:trPr>
        <w:tc>
          <w:tcPr>
            <w:tcW w:w="4880" w:type="dxa"/>
          </w:tcPr>
          <w:p w14:paraId="6F804299" w14:textId="77777777" w:rsidR="00A92E6F" w:rsidRDefault="00B07FFE">
            <w:pPr>
              <w:pStyle w:val="TableParagraph"/>
              <w:spacing w:before="14"/>
              <w:ind w:left="200"/>
            </w:pPr>
            <w:r>
              <w:t>Lámina protectora: lámina de polietileno tereftalato</w:t>
            </w:r>
          </w:p>
        </w:tc>
        <w:tc>
          <w:tcPr>
            <w:tcW w:w="3134" w:type="dxa"/>
          </w:tcPr>
          <w:p w14:paraId="6F80429A" w14:textId="77777777" w:rsidR="00A92E6F" w:rsidRDefault="00B07FFE">
            <w:pPr>
              <w:pStyle w:val="TableParagraph"/>
              <w:spacing w:before="14"/>
              <w:ind w:left="142"/>
            </w:pPr>
            <w:r>
              <w:t>42,24 mg</w:t>
            </w:r>
          </w:p>
        </w:tc>
      </w:tr>
      <w:tr w:rsidR="00A92E6F" w14:paraId="6F80429E" w14:textId="77777777">
        <w:trPr>
          <w:trHeight w:val="267"/>
        </w:trPr>
        <w:tc>
          <w:tcPr>
            <w:tcW w:w="4880" w:type="dxa"/>
          </w:tcPr>
          <w:p w14:paraId="6F80429C" w14:textId="77777777" w:rsidR="00A92E6F" w:rsidRDefault="00B07FFE">
            <w:pPr>
              <w:pStyle w:val="TableParagraph"/>
              <w:spacing w:before="14" w:line="233" w:lineRule="exact"/>
              <w:ind w:left="200"/>
            </w:pPr>
            <w:r>
              <w:t>Hoja despegable: polietileno tereftalato siliconizado</w:t>
            </w:r>
          </w:p>
        </w:tc>
        <w:tc>
          <w:tcPr>
            <w:tcW w:w="3134" w:type="dxa"/>
          </w:tcPr>
          <w:p w14:paraId="6F80429D" w14:textId="77777777" w:rsidR="00A92E6F" w:rsidRDefault="00B07FFE">
            <w:pPr>
              <w:pStyle w:val="TableParagraph"/>
              <w:spacing w:before="14" w:line="233" w:lineRule="exact"/>
              <w:ind w:left="142"/>
            </w:pPr>
            <w:r>
              <w:t>(se retira antes de la aplicación)</w:t>
            </w:r>
          </w:p>
        </w:tc>
      </w:tr>
    </w:tbl>
    <w:p w14:paraId="6F80429F" w14:textId="77777777" w:rsidR="00A92E6F" w:rsidRDefault="00A92E6F">
      <w:pPr>
        <w:pStyle w:val="Textoindependiente"/>
        <w:spacing w:before="9"/>
        <w:rPr>
          <w:sz w:val="28"/>
        </w:rPr>
      </w:pPr>
    </w:p>
    <w:p w14:paraId="6F8042A0" w14:textId="02C68C70" w:rsidR="00A92E6F" w:rsidRDefault="00B07FFE">
      <w:pPr>
        <w:pStyle w:val="Textoindependiente"/>
        <w:spacing w:after="48"/>
        <w:ind w:left="217"/>
      </w:pPr>
      <w:r>
        <w:t xml:space="preserve">EVOPAD 75 </w:t>
      </w:r>
      <w:r>
        <w:rPr>
          <w:rFonts w:ascii="Symbol" w:hAnsi="Symbol"/>
        </w:rPr>
        <w:t></w:t>
      </w:r>
      <w:r>
        <w:t>g/24 h parches</w:t>
      </w:r>
      <w:r>
        <w:rPr>
          <w:spacing w:val="-13"/>
        </w:rPr>
        <w:t xml:space="preserve"> </w:t>
      </w:r>
      <w:r>
        <w:t>transdérmicos</w:t>
      </w:r>
    </w:p>
    <w:tbl>
      <w:tblPr>
        <w:tblStyle w:val="TableNormal"/>
        <w:tblW w:w="0" w:type="auto"/>
        <w:tblInd w:w="840" w:type="dxa"/>
        <w:tblLayout w:type="fixed"/>
        <w:tblLook w:val="01E0" w:firstRow="1" w:lastRow="1" w:firstColumn="1" w:lastColumn="1" w:noHBand="0" w:noVBand="0"/>
      </w:tblPr>
      <w:tblGrid>
        <w:gridCol w:w="4880"/>
        <w:gridCol w:w="3134"/>
      </w:tblGrid>
      <w:tr w:rsidR="00A92E6F" w14:paraId="6F8042A3" w14:textId="77777777">
        <w:trPr>
          <w:trHeight w:val="267"/>
        </w:trPr>
        <w:tc>
          <w:tcPr>
            <w:tcW w:w="4880" w:type="dxa"/>
          </w:tcPr>
          <w:p w14:paraId="6F8042A1" w14:textId="77777777" w:rsidR="00A92E6F" w:rsidRDefault="00B07FFE">
            <w:pPr>
              <w:pStyle w:val="TableParagraph"/>
              <w:spacing w:line="244" w:lineRule="exact"/>
              <w:ind w:left="200"/>
            </w:pPr>
            <w:r>
              <w:t>Adhesivo: copolímero de acrilato-vinilacetato</w:t>
            </w:r>
          </w:p>
        </w:tc>
        <w:tc>
          <w:tcPr>
            <w:tcW w:w="3134" w:type="dxa"/>
          </w:tcPr>
          <w:p w14:paraId="6F8042A2" w14:textId="77777777" w:rsidR="00A92E6F" w:rsidRDefault="00B07FFE">
            <w:pPr>
              <w:pStyle w:val="TableParagraph"/>
              <w:spacing w:line="244" w:lineRule="exact"/>
              <w:ind w:left="142"/>
            </w:pPr>
            <w:r>
              <w:t>117,60 mg</w:t>
            </w:r>
          </w:p>
        </w:tc>
      </w:tr>
      <w:tr w:rsidR="00A92E6F" w14:paraId="6F8042A6" w14:textId="77777777">
        <w:trPr>
          <w:trHeight w:val="290"/>
        </w:trPr>
        <w:tc>
          <w:tcPr>
            <w:tcW w:w="4880" w:type="dxa"/>
          </w:tcPr>
          <w:p w14:paraId="6F8042A4" w14:textId="77777777" w:rsidR="00A92E6F" w:rsidRDefault="00B07FFE">
            <w:pPr>
              <w:pStyle w:val="TableParagraph"/>
              <w:spacing w:before="14"/>
              <w:ind w:left="200"/>
            </w:pPr>
            <w:r>
              <w:t>Goma guar</w:t>
            </w:r>
          </w:p>
        </w:tc>
        <w:tc>
          <w:tcPr>
            <w:tcW w:w="3134" w:type="dxa"/>
          </w:tcPr>
          <w:p w14:paraId="6F8042A5" w14:textId="77777777" w:rsidR="00A92E6F" w:rsidRDefault="00B07FFE">
            <w:pPr>
              <w:pStyle w:val="TableParagraph"/>
              <w:spacing w:before="14"/>
              <w:ind w:left="142"/>
            </w:pPr>
            <w:r>
              <w:t>5,76 mg</w:t>
            </w:r>
          </w:p>
        </w:tc>
      </w:tr>
      <w:tr w:rsidR="00A92E6F" w14:paraId="6F8042A9" w14:textId="77777777">
        <w:trPr>
          <w:trHeight w:val="291"/>
        </w:trPr>
        <w:tc>
          <w:tcPr>
            <w:tcW w:w="4880" w:type="dxa"/>
          </w:tcPr>
          <w:p w14:paraId="6F8042A7" w14:textId="77777777" w:rsidR="00A92E6F" w:rsidRDefault="00B07FFE">
            <w:pPr>
              <w:pStyle w:val="TableParagraph"/>
              <w:spacing w:before="14"/>
              <w:ind w:left="200"/>
            </w:pPr>
            <w:r>
              <w:t>Lámina protectora: lámina de polietileno tereftalato</w:t>
            </w:r>
          </w:p>
        </w:tc>
        <w:tc>
          <w:tcPr>
            <w:tcW w:w="3134" w:type="dxa"/>
          </w:tcPr>
          <w:p w14:paraId="6F8042A8" w14:textId="77777777" w:rsidR="00A92E6F" w:rsidRDefault="00B07FFE">
            <w:pPr>
              <w:pStyle w:val="TableParagraph"/>
              <w:spacing w:before="14"/>
              <w:ind w:left="142"/>
            </w:pPr>
            <w:r>
              <w:t>63,36 mg</w:t>
            </w:r>
          </w:p>
        </w:tc>
      </w:tr>
      <w:tr w:rsidR="00A92E6F" w14:paraId="6F8042AC" w14:textId="77777777">
        <w:trPr>
          <w:trHeight w:val="268"/>
        </w:trPr>
        <w:tc>
          <w:tcPr>
            <w:tcW w:w="4880" w:type="dxa"/>
          </w:tcPr>
          <w:p w14:paraId="6F8042AA" w14:textId="77777777" w:rsidR="00A92E6F" w:rsidRDefault="00B07FFE">
            <w:pPr>
              <w:pStyle w:val="TableParagraph"/>
              <w:spacing w:before="15" w:line="233" w:lineRule="exact"/>
              <w:ind w:left="200"/>
            </w:pPr>
            <w:r>
              <w:t>Hoja despegable: polietileno tereftalato siliconizado</w:t>
            </w:r>
          </w:p>
        </w:tc>
        <w:tc>
          <w:tcPr>
            <w:tcW w:w="3134" w:type="dxa"/>
          </w:tcPr>
          <w:p w14:paraId="6F8042AB" w14:textId="77777777" w:rsidR="00A92E6F" w:rsidRDefault="00B07FFE">
            <w:pPr>
              <w:pStyle w:val="TableParagraph"/>
              <w:spacing w:before="15" w:line="233" w:lineRule="exact"/>
              <w:ind w:left="142"/>
            </w:pPr>
            <w:r>
              <w:t>(se retira antes de la aplicación)</w:t>
            </w:r>
          </w:p>
        </w:tc>
      </w:tr>
    </w:tbl>
    <w:p w14:paraId="6F8042AD" w14:textId="77777777" w:rsidR="00A92E6F" w:rsidRDefault="00A92E6F">
      <w:pPr>
        <w:pStyle w:val="Textoindependiente"/>
        <w:spacing w:before="6"/>
        <w:rPr>
          <w:sz w:val="28"/>
        </w:rPr>
      </w:pPr>
    </w:p>
    <w:p w14:paraId="6F8042AE" w14:textId="77777777" w:rsidR="00A92E6F" w:rsidRDefault="00B07FFE">
      <w:pPr>
        <w:pStyle w:val="Textoindependiente"/>
        <w:spacing w:after="48"/>
        <w:ind w:left="217"/>
      </w:pPr>
      <w:r>
        <w:t xml:space="preserve">EVOPAD 100 </w:t>
      </w:r>
      <w:r>
        <w:rPr>
          <w:rFonts w:ascii="Symbol" w:hAnsi="Symbol"/>
        </w:rPr>
        <w:t></w:t>
      </w:r>
      <w:r>
        <w:t>g/24 h parches transdérmicos</w:t>
      </w:r>
    </w:p>
    <w:tbl>
      <w:tblPr>
        <w:tblStyle w:val="TableNormal"/>
        <w:tblW w:w="0" w:type="auto"/>
        <w:tblInd w:w="840" w:type="dxa"/>
        <w:tblLayout w:type="fixed"/>
        <w:tblLook w:val="01E0" w:firstRow="1" w:lastRow="1" w:firstColumn="1" w:lastColumn="1" w:noHBand="0" w:noVBand="0"/>
      </w:tblPr>
      <w:tblGrid>
        <w:gridCol w:w="4880"/>
        <w:gridCol w:w="3134"/>
      </w:tblGrid>
      <w:tr w:rsidR="00A92E6F" w14:paraId="6F8042B1" w14:textId="77777777">
        <w:trPr>
          <w:trHeight w:val="267"/>
        </w:trPr>
        <w:tc>
          <w:tcPr>
            <w:tcW w:w="4880" w:type="dxa"/>
          </w:tcPr>
          <w:p w14:paraId="6F8042AF" w14:textId="77777777" w:rsidR="00A92E6F" w:rsidRDefault="00B07FFE">
            <w:pPr>
              <w:pStyle w:val="TableParagraph"/>
              <w:spacing w:line="244" w:lineRule="exact"/>
              <w:ind w:left="200"/>
            </w:pPr>
            <w:r>
              <w:t>Adhesivo: copolímero de acrilato-vinilacetato</w:t>
            </w:r>
          </w:p>
        </w:tc>
        <w:tc>
          <w:tcPr>
            <w:tcW w:w="3134" w:type="dxa"/>
          </w:tcPr>
          <w:p w14:paraId="6F8042B0" w14:textId="77777777" w:rsidR="00A92E6F" w:rsidRDefault="00B07FFE">
            <w:pPr>
              <w:pStyle w:val="TableParagraph"/>
              <w:spacing w:line="244" w:lineRule="exact"/>
              <w:ind w:left="142"/>
            </w:pPr>
            <w:r>
              <w:t>236,80 mg</w:t>
            </w:r>
          </w:p>
        </w:tc>
      </w:tr>
      <w:tr w:rsidR="00A92E6F" w14:paraId="6F8042B4" w14:textId="77777777">
        <w:trPr>
          <w:trHeight w:val="291"/>
        </w:trPr>
        <w:tc>
          <w:tcPr>
            <w:tcW w:w="4880" w:type="dxa"/>
          </w:tcPr>
          <w:p w14:paraId="6F8042B2" w14:textId="77777777" w:rsidR="00A92E6F" w:rsidRDefault="00B07FFE">
            <w:pPr>
              <w:pStyle w:val="TableParagraph"/>
              <w:spacing w:before="14"/>
              <w:ind w:left="200"/>
            </w:pPr>
            <w:r>
              <w:t>Goma guar</w:t>
            </w:r>
          </w:p>
        </w:tc>
        <w:tc>
          <w:tcPr>
            <w:tcW w:w="3134" w:type="dxa"/>
          </w:tcPr>
          <w:p w14:paraId="6F8042B3" w14:textId="77777777" w:rsidR="00A92E6F" w:rsidRDefault="00B07FFE">
            <w:pPr>
              <w:pStyle w:val="TableParagraph"/>
              <w:spacing w:before="14"/>
              <w:ind w:left="142"/>
            </w:pPr>
            <w:r>
              <w:t>7,68 mg</w:t>
            </w:r>
          </w:p>
        </w:tc>
      </w:tr>
      <w:tr w:rsidR="00A92E6F" w14:paraId="6F8042B7" w14:textId="77777777">
        <w:trPr>
          <w:trHeight w:val="291"/>
        </w:trPr>
        <w:tc>
          <w:tcPr>
            <w:tcW w:w="4880" w:type="dxa"/>
          </w:tcPr>
          <w:p w14:paraId="6F8042B5" w14:textId="77777777" w:rsidR="00A92E6F" w:rsidRDefault="00B07FFE">
            <w:pPr>
              <w:pStyle w:val="TableParagraph"/>
              <w:spacing w:before="15"/>
              <w:ind w:left="200"/>
            </w:pPr>
            <w:r>
              <w:t>Lámina protectora: lámina de polietileno tereftalato</w:t>
            </w:r>
          </w:p>
        </w:tc>
        <w:tc>
          <w:tcPr>
            <w:tcW w:w="3134" w:type="dxa"/>
          </w:tcPr>
          <w:p w14:paraId="6F8042B6" w14:textId="77777777" w:rsidR="00A92E6F" w:rsidRDefault="00B07FFE">
            <w:pPr>
              <w:pStyle w:val="TableParagraph"/>
              <w:spacing w:before="15"/>
              <w:ind w:left="142"/>
            </w:pPr>
            <w:r>
              <w:t>84,88 mg</w:t>
            </w:r>
          </w:p>
        </w:tc>
      </w:tr>
      <w:tr w:rsidR="00A92E6F" w14:paraId="6F8042BA" w14:textId="77777777">
        <w:trPr>
          <w:trHeight w:val="267"/>
        </w:trPr>
        <w:tc>
          <w:tcPr>
            <w:tcW w:w="4880" w:type="dxa"/>
          </w:tcPr>
          <w:p w14:paraId="6F8042B8" w14:textId="77777777" w:rsidR="00A92E6F" w:rsidRDefault="00B07FFE">
            <w:pPr>
              <w:pStyle w:val="TableParagraph"/>
              <w:spacing w:before="14" w:line="233" w:lineRule="exact"/>
              <w:ind w:left="200"/>
            </w:pPr>
            <w:r>
              <w:t>Hoja despegable: polietileno tereftalato siliconizado</w:t>
            </w:r>
          </w:p>
        </w:tc>
        <w:tc>
          <w:tcPr>
            <w:tcW w:w="3134" w:type="dxa"/>
          </w:tcPr>
          <w:p w14:paraId="6F8042B9" w14:textId="77777777" w:rsidR="00A92E6F" w:rsidRDefault="00B07FFE">
            <w:pPr>
              <w:pStyle w:val="TableParagraph"/>
              <w:spacing w:before="14" w:line="233" w:lineRule="exact"/>
              <w:ind w:left="142"/>
            </w:pPr>
            <w:r>
              <w:t>(se retira antes de la aplicación)</w:t>
            </w:r>
          </w:p>
        </w:tc>
      </w:tr>
    </w:tbl>
    <w:p w14:paraId="6F8042BB" w14:textId="77777777" w:rsidR="00A92E6F" w:rsidRDefault="00A92E6F">
      <w:pPr>
        <w:pStyle w:val="Textoindependiente"/>
        <w:rPr>
          <w:sz w:val="26"/>
        </w:rPr>
      </w:pPr>
    </w:p>
    <w:p w14:paraId="6F8042BC" w14:textId="77777777" w:rsidR="00A92E6F" w:rsidRDefault="00B07FFE">
      <w:pPr>
        <w:pStyle w:val="Ttulo1"/>
        <w:numPr>
          <w:ilvl w:val="1"/>
          <w:numId w:val="2"/>
        </w:numPr>
        <w:tabs>
          <w:tab w:val="left" w:pos="549"/>
        </w:tabs>
        <w:spacing w:before="232"/>
        <w:ind w:hanging="331"/>
      </w:pPr>
      <w:r>
        <w:t>Incompatibilidades</w:t>
      </w:r>
    </w:p>
    <w:p w14:paraId="6F8042BD" w14:textId="77777777" w:rsidR="00A92E6F" w:rsidRDefault="00A92E6F">
      <w:pPr>
        <w:pStyle w:val="Textoindependiente"/>
        <w:spacing w:before="4"/>
        <w:rPr>
          <w:b/>
          <w:sz w:val="20"/>
        </w:rPr>
      </w:pPr>
    </w:p>
    <w:p w14:paraId="6F8042BE" w14:textId="3651B6E9" w:rsidR="00A92E6F" w:rsidRDefault="00B07FFE">
      <w:pPr>
        <w:pStyle w:val="Textoindependiente"/>
        <w:spacing w:before="1"/>
        <w:ind w:left="217" w:right="777"/>
      </w:pPr>
      <w:r>
        <w:t>No se deben aplicar cremas, lociones o polvos en la zona de la piel donde se aplica el parche para impedir la interferencia en las propiedades adhesivas de EVOPAD.</w:t>
      </w:r>
    </w:p>
    <w:p w14:paraId="77E2C9FB" w14:textId="77777777" w:rsidR="008D586B" w:rsidRDefault="008D586B">
      <w:pPr>
        <w:pStyle w:val="Textoindependiente"/>
        <w:spacing w:before="1"/>
        <w:ind w:left="217" w:right="777"/>
      </w:pPr>
    </w:p>
    <w:p w14:paraId="6F8042BF" w14:textId="77777777" w:rsidR="00A92E6F" w:rsidRDefault="00B07FFE">
      <w:pPr>
        <w:pStyle w:val="Ttulo1"/>
        <w:numPr>
          <w:ilvl w:val="1"/>
          <w:numId w:val="2"/>
        </w:numPr>
        <w:tabs>
          <w:tab w:val="left" w:pos="549"/>
        </w:tabs>
        <w:spacing w:before="204"/>
        <w:ind w:hanging="331"/>
      </w:pPr>
      <w:r>
        <w:t>Periodo de</w:t>
      </w:r>
      <w:r>
        <w:rPr>
          <w:spacing w:val="-2"/>
        </w:rPr>
        <w:t xml:space="preserve"> </w:t>
      </w:r>
      <w:r>
        <w:t>validez</w:t>
      </w:r>
    </w:p>
    <w:p w14:paraId="6F8042C0" w14:textId="77777777" w:rsidR="00A92E6F" w:rsidRDefault="00A92E6F">
      <w:pPr>
        <w:pStyle w:val="Textoindependiente"/>
        <w:spacing w:before="4"/>
        <w:rPr>
          <w:b/>
          <w:sz w:val="20"/>
        </w:rPr>
      </w:pPr>
    </w:p>
    <w:p w14:paraId="6F8042C1" w14:textId="526B8B02" w:rsidR="00A92E6F" w:rsidRDefault="00B07FFE">
      <w:pPr>
        <w:pStyle w:val="Textoindependiente"/>
        <w:ind w:left="217" w:right="970"/>
      </w:pPr>
      <w:r>
        <w:t>EVOPAD tiene un período de validez de 2 años si se conserva a una temperatura no superior a 25ºC. El producto puede usarse hasta la fecha de caducidad indicada en el envase.</w:t>
      </w:r>
    </w:p>
    <w:p w14:paraId="02C0AA11" w14:textId="77777777" w:rsidR="008D586B" w:rsidRDefault="008D586B">
      <w:pPr>
        <w:pStyle w:val="Textoindependiente"/>
        <w:ind w:left="217" w:right="970"/>
      </w:pPr>
    </w:p>
    <w:p w14:paraId="6F8042C2" w14:textId="77777777" w:rsidR="00A92E6F" w:rsidRDefault="00B07FFE">
      <w:pPr>
        <w:pStyle w:val="Ttulo1"/>
        <w:numPr>
          <w:ilvl w:val="1"/>
          <w:numId w:val="2"/>
        </w:numPr>
        <w:tabs>
          <w:tab w:val="left" w:pos="549"/>
        </w:tabs>
        <w:spacing w:before="205"/>
        <w:ind w:hanging="331"/>
      </w:pPr>
      <w:r>
        <w:t>Precauciones especiales de</w:t>
      </w:r>
      <w:r>
        <w:rPr>
          <w:spacing w:val="-3"/>
        </w:rPr>
        <w:t xml:space="preserve"> </w:t>
      </w:r>
      <w:r>
        <w:t>conservación</w:t>
      </w:r>
    </w:p>
    <w:p w14:paraId="6F8042C3" w14:textId="77777777" w:rsidR="00A92E6F" w:rsidRDefault="00A92E6F">
      <w:pPr>
        <w:pStyle w:val="Textoindependiente"/>
        <w:spacing w:before="1"/>
        <w:rPr>
          <w:b/>
          <w:sz w:val="20"/>
        </w:rPr>
      </w:pPr>
    </w:p>
    <w:p w14:paraId="6F8042C4" w14:textId="77777777" w:rsidR="00A92E6F" w:rsidRDefault="00B07FFE">
      <w:pPr>
        <w:pStyle w:val="Textoindependiente"/>
        <w:spacing w:before="1"/>
        <w:ind w:left="217"/>
      </w:pPr>
      <w:r>
        <w:t>No conservar a temperatura superior a 25ºC.</w:t>
      </w:r>
    </w:p>
    <w:p w14:paraId="6F8042C5" w14:textId="3448F597" w:rsidR="00A92E6F" w:rsidRDefault="00B07FFE">
      <w:pPr>
        <w:pStyle w:val="Textoindependiente"/>
        <w:spacing w:before="40"/>
        <w:ind w:left="217" w:right="1125"/>
      </w:pPr>
      <w:r>
        <w:t>Mantener fuera del alcance y de la vista de los niños. Esto también es aplicable a los parches usados y desechados.</w:t>
      </w:r>
    </w:p>
    <w:p w14:paraId="6E026A29" w14:textId="77777777" w:rsidR="008D586B" w:rsidRDefault="008D586B">
      <w:pPr>
        <w:pStyle w:val="Textoindependiente"/>
        <w:spacing w:before="40"/>
        <w:ind w:left="217" w:right="1125"/>
      </w:pPr>
    </w:p>
    <w:p w14:paraId="6F8042C6" w14:textId="77777777" w:rsidR="00A92E6F" w:rsidRDefault="00B07FFE">
      <w:pPr>
        <w:pStyle w:val="Ttulo1"/>
        <w:numPr>
          <w:ilvl w:val="1"/>
          <w:numId w:val="2"/>
        </w:numPr>
        <w:tabs>
          <w:tab w:val="left" w:pos="549"/>
        </w:tabs>
        <w:spacing w:before="204"/>
        <w:ind w:hanging="331"/>
      </w:pPr>
      <w:r>
        <w:t>Naturaleza y contenido del envase</w:t>
      </w:r>
    </w:p>
    <w:p w14:paraId="6F8042C7" w14:textId="77777777" w:rsidR="00A92E6F" w:rsidRDefault="00A92E6F">
      <w:pPr>
        <w:pStyle w:val="Textoindependiente"/>
        <w:spacing w:before="2"/>
        <w:rPr>
          <w:b/>
          <w:sz w:val="20"/>
        </w:rPr>
      </w:pPr>
    </w:p>
    <w:p w14:paraId="6F8042CD" w14:textId="6571D8AC" w:rsidR="00A92E6F" w:rsidRDefault="00B07FFE" w:rsidP="00556099">
      <w:pPr>
        <w:pStyle w:val="Textoindependiente"/>
        <w:ind w:left="217" w:right="837"/>
        <w:rPr>
          <w:sz w:val="20"/>
        </w:rPr>
      </w:pPr>
      <w:r>
        <w:t>Cada envase tiene 8 parches en sobres recubiertos individuales. El sobre consta de un laminado de cuatro capas que incluye una barrera de aluminio antihumedad y una superficie externa de papel.</w:t>
      </w:r>
    </w:p>
    <w:p w14:paraId="6F8042CE" w14:textId="77777777" w:rsidR="00A92E6F" w:rsidRDefault="00A92E6F">
      <w:pPr>
        <w:pStyle w:val="Textoindependiente"/>
        <w:spacing w:before="10"/>
        <w:rPr>
          <w:sz w:val="15"/>
        </w:rPr>
      </w:pPr>
    </w:p>
    <w:p w14:paraId="6F8042CF" w14:textId="77777777" w:rsidR="00A92E6F" w:rsidRDefault="00B07FFE">
      <w:pPr>
        <w:pStyle w:val="Ttulo1"/>
        <w:numPr>
          <w:ilvl w:val="1"/>
          <w:numId w:val="2"/>
        </w:numPr>
        <w:tabs>
          <w:tab w:val="left" w:pos="549"/>
        </w:tabs>
        <w:spacing w:before="92"/>
        <w:ind w:hanging="331"/>
      </w:pPr>
      <w:r>
        <w:t>Precauciones especiales de eliminación y otras</w:t>
      </w:r>
      <w:r>
        <w:rPr>
          <w:spacing w:val="-5"/>
        </w:rPr>
        <w:t xml:space="preserve"> </w:t>
      </w:r>
      <w:r>
        <w:t>manipulaciones</w:t>
      </w:r>
    </w:p>
    <w:p w14:paraId="6F8042D0" w14:textId="77777777" w:rsidR="00A92E6F" w:rsidRDefault="00A92E6F">
      <w:pPr>
        <w:pStyle w:val="Textoindependiente"/>
        <w:spacing w:before="4"/>
        <w:rPr>
          <w:b/>
          <w:sz w:val="20"/>
        </w:rPr>
      </w:pPr>
    </w:p>
    <w:p w14:paraId="6F8042D1" w14:textId="2B26970A" w:rsidR="00A92E6F" w:rsidRDefault="00B07FFE">
      <w:pPr>
        <w:pStyle w:val="Textoindependiente"/>
        <w:spacing w:before="1" w:line="276" w:lineRule="auto"/>
        <w:ind w:left="217" w:right="1070"/>
      </w:pPr>
      <w:r>
        <w:t>Los parches deben ser doblados y tirados a la basura (no por el inodoro), y deben mantenerse fuera del alcance de los niños.</w:t>
      </w:r>
    </w:p>
    <w:p w14:paraId="027D30E1" w14:textId="17C8DDD7" w:rsidR="00CD6C7C" w:rsidRDefault="00CD6C7C">
      <w:pPr>
        <w:pStyle w:val="Textoindependiente"/>
        <w:spacing w:before="1" w:line="276" w:lineRule="auto"/>
        <w:ind w:left="217" w:right="1070"/>
      </w:pPr>
    </w:p>
    <w:p w14:paraId="0FF33A22" w14:textId="77777777" w:rsidR="00CD6C7C" w:rsidRDefault="00CD6C7C">
      <w:pPr>
        <w:pStyle w:val="Textoindependiente"/>
        <w:spacing w:before="1" w:line="276" w:lineRule="auto"/>
        <w:ind w:left="217" w:right="1070"/>
      </w:pPr>
    </w:p>
    <w:p w14:paraId="6F8042D2" w14:textId="77777777" w:rsidR="00A92E6F" w:rsidRDefault="00B07FFE">
      <w:pPr>
        <w:pStyle w:val="Ttulo1"/>
        <w:numPr>
          <w:ilvl w:val="0"/>
          <w:numId w:val="1"/>
        </w:numPr>
        <w:tabs>
          <w:tab w:val="left" w:pos="439"/>
        </w:tabs>
        <w:spacing w:before="205"/>
      </w:pPr>
      <w:r>
        <w:t>TITULAR DE LA AUTORIZACIÓN DE</w:t>
      </w:r>
      <w:r>
        <w:rPr>
          <w:spacing w:val="-6"/>
        </w:rPr>
        <w:t xml:space="preserve"> </w:t>
      </w:r>
      <w:r>
        <w:t>COMERCIALIZACIÓN</w:t>
      </w:r>
    </w:p>
    <w:p w14:paraId="6F8042D3" w14:textId="77777777" w:rsidR="00A92E6F" w:rsidRDefault="00A92E6F">
      <w:pPr>
        <w:pStyle w:val="Textoindependiente"/>
        <w:spacing w:before="4"/>
        <w:rPr>
          <w:b/>
          <w:sz w:val="20"/>
        </w:rPr>
      </w:pPr>
    </w:p>
    <w:p w14:paraId="6F8042D4" w14:textId="204C0DCC" w:rsidR="00A92E6F" w:rsidRPr="00A44770" w:rsidRDefault="00B95B3F">
      <w:pPr>
        <w:pStyle w:val="Textoindependiente"/>
        <w:ind w:left="217"/>
        <w:rPr>
          <w:lang w:val="en-US"/>
        </w:rPr>
      </w:pPr>
      <w:r w:rsidRPr="00A44770">
        <w:rPr>
          <w:lang w:val="en-US"/>
        </w:rPr>
        <w:t>Theramex Ireland Limited</w:t>
      </w:r>
    </w:p>
    <w:p w14:paraId="3D59AE8B" w14:textId="3C31B5EF" w:rsidR="00A305D0" w:rsidRPr="00A44770" w:rsidRDefault="00A305D0">
      <w:pPr>
        <w:pStyle w:val="Textoindependiente"/>
        <w:ind w:left="217"/>
        <w:rPr>
          <w:lang w:val="en-US"/>
        </w:rPr>
      </w:pPr>
      <w:r w:rsidRPr="00A44770">
        <w:rPr>
          <w:lang w:val="en-US"/>
        </w:rPr>
        <w:t>3rd Floor, Kilmore House,</w:t>
      </w:r>
    </w:p>
    <w:p w14:paraId="47C87213" w14:textId="1DFAC00B" w:rsidR="00316F52" w:rsidRPr="00A44770" w:rsidRDefault="00A305D0">
      <w:pPr>
        <w:pStyle w:val="Textoindependiente"/>
        <w:spacing w:before="38" w:line="276" w:lineRule="auto"/>
        <w:ind w:left="217" w:right="7209"/>
        <w:rPr>
          <w:lang w:val="en-US"/>
        </w:rPr>
      </w:pPr>
      <w:r w:rsidRPr="00A44770">
        <w:rPr>
          <w:lang w:val="en-US"/>
        </w:rPr>
        <w:t>Park Lane</w:t>
      </w:r>
      <w:r w:rsidR="00316F52" w:rsidRPr="00A44770">
        <w:rPr>
          <w:lang w:val="en-US"/>
        </w:rPr>
        <w:t>, Spencer Dock,</w:t>
      </w:r>
      <w:r w:rsidR="00B07FFE" w:rsidRPr="00A44770">
        <w:rPr>
          <w:lang w:val="en-US"/>
        </w:rPr>
        <w:t xml:space="preserve"> </w:t>
      </w:r>
      <w:r w:rsidR="00316F52" w:rsidRPr="00A44770">
        <w:rPr>
          <w:lang w:val="en-US"/>
        </w:rPr>
        <w:t>Dublin 1</w:t>
      </w:r>
    </w:p>
    <w:p w14:paraId="6F8042D5" w14:textId="37A6302D" w:rsidR="00A92E6F" w:rsidRDefault="00316F52">
      <w:pPr>
        <w:pStyle w:val="Textoindependiente"/>
        <w:spacing w:before="38" w:line="276" w:lineRule="auto"/>
        <w:ind w:left="217" w:right="7209"/>
      </w:pPr>
      <w:r>
        <w:t>D01 YE64</w:t>
      </w:r>
    </w:p>
    <w:p w14:paraId="398DB77A" w14:textId="4777547B" w:rsidR="00316F52" w:rsidRDefault="00316F52">
      <w:pPr>
        <w:pStyle w:val="Textoindependiente"/>
        <w:spacing w:before="38" w:line="276" w:lineRule="auto"/>
        <w:ind w:left="217" w:right="7209"/>
      </w:pPr>
      <w:r>
        <w:t>Irlanda</w:t>
      </w:r>
    </w:p>
    <w:p w14:paraId="6F8042D6" w14:textId="0109D73D" w:rsidR="00A92E6F" w:rsidRDefault="00A92E6F">
      <w:pPr>
        <w:pStyle w:val="Textoindependiente"/>
        <w:rPr>
          <w:sz w:val="24"/>
        </w:rPr>
      </w:pPr>
    </w:p>
    <w:p w14:paraId="7192EB11" w14:textId="77777777" w:rsidR="00CD6C7C" w:rsidRDefault="00CD6C7C">
      <w:pPr>
        <w:pStyle w:val="Textoindependiente"/>
        <w:rPr>
          <w:sz w:val="24"/>
        </w:rPr>
      </w:pPr>
    </w:p>
    <w:p w14:paraId="73EABFC6" w14:textId="2540AA16" w:rsidR="0039271F" w:rsidRPr="0039271F" w:rsidRDefault="0039271F" w:rsidP="002C2A4F">
      <w:pPr>
        <w:pStyle w:val="Prrafodelista"/>
        <w:numPr>
          <w:ilvl w:val="0"/>
          <w:numId w:val="1"/>
        </w:numPr>
        <w:ind w:left="436"/>
        <w:rPr>
          <w:b/>
          <w:noProof/>
        </w:rPr>
      </w:pPr>
      <w:r w:rsidRPr="0039271F">
        <w:rPr>
          <w:b/>
        </w:rPr>
        <w:t>CONDICIONES DE PRESCRIPCIÓN Y DISPENSACIÓN</w:t>
      </w:r>
    </w:p>
    <w:p w14:paraId="0FCC07CB" w14:textId="77777777" w:rsidR="0039271F" w:rsidRPr="00E14E6F" w:rsidRDefault="0039271F" w:rsidP="0039271F">
      <w:pPr>
        <w:pStyle w:val="Prrafodelista"/>
        <w:ind w:left="438" w:firstLine="0"/>
        <w:rPr>
          <w:noProof/>
        </w:rPr>
      </w:pPr>
    </w:p>
    <w:p w14:paraId="2153A9C6" w14:textId="7179DB55" w:rsidR="0039271F" w:rsidRPr="0039271F" w:rsidRDefault="0039271F" w:rsidP="0039271F">
      <w:pPr>
        <w:pStyle w:val="Prrafodelista"/>
        <w:ind w:left="438" w:firstLine="0"/>
        <w:rPr>
          <w:noProof/>
          <w:color w:val="000000"/>
        </w:rPr>
      </w:pPr>
      <w:r w:rsidRPr="0039271F">
        <w:rPr>
          <w:noProof/>
          <w:color w:val="000000"/>
        </w:rPr>
        <w:t xml:space="preserve">Con receta médica. </w:t>
      </w:r>
      <w:r w:rsidR="004D3CEA">
        <w:rPr>
          <w:noProof/>
          <w:color w:val="000000"/>
        </w:rPr>
        <w:t xml:space="preserve">Aportación reducida. Tratamiento de larga duración. </w:t>
      </w:r>
      <w:r w:rsidRPr="0039271F">
        <w:rPr>
          <w:noProof/>
          <w:color w:val="000000"/>
        </w:rPr>
        <w:t xml:space="preserve">Financiado por la Seguridad Social. </w:t>
      </w:r>
    </w:p>
    <w:p w14:paraId="21A4DF28" w14:textId="2C50D5F4" w:rsidR="0039271F" w:rsidRDefault="0039271F" w:rsidP="0039271F">
      <w:pPr>
        <w:pStyle w:val="Prrafodelista"/>
        <w:ind w:left="438" w:firstLine="0"/>
        <w:rPr>
          <w:noProof/>
        </w:rPr>
      </w:pPr>
    </w:p>
    <w:p w14:paraId="342CAA83" w14:textId="77777777" w:rsidR="00CD6C7C" w:rsidRPr="00E14E6F" w:rsidRDefault="00CD6C7C" w:rsidP="0039271F">
      <w:pPr>
        <w:pStyle w:val="Prrafodelista"/>
        <w:ind w:left="438" w:firstLine="0"/>
        <w:rPr>
          <w:noProof/>
        </w:rPr>
      </w:pPr>
    </w:p>
    <w:p w14:paraId="4D11CD49" w14:textId="77777777" w:rsidR="0039271F" w:rsidRPr="0039271F" w:rsidRDefault="0039271F" w:rsidP="002C2A4F">
      <w:pPr>
        <w:ind w:left="436" w:hanging="221"/>
        <w:rPr>
          <w:b/>
          <w:noProof/>
        </w:rPr>
      </w:pPr>
      <w:r w:rsidRPr="0039271F">
        <w:rPr>
          <w:b/>
          <w:noProof/>
        </w:rPr>
        <w:t>9.</w:t>
      </w:r>
      <w:r w:rsidRPr="0039271F">
        <w:rPr>
          <w:b/>
          <w:noProof/>
        </w:rPr>
        <w:tab/>
        <w:t>PRECIOS</w:t>
      </w:r>
    </w:p>
    <w:p w14:paraId="3EFD357F" w14:textId="77777777" w:rsidR="0039271F" w:rsidRPr="00E14E6F" w:rsidRDefault="0039271F" w:rsidP="0039271F">
      <w:pPr>
        <w:pStyle w:val="Prrafodelista"/>
        <w:ind w:left="438" w:firstLine="0"/>
        <w:rPr>
          <w:noProof/>
        </w:rPr>
      </w:pPr>
    </w:p>
    <w:p w14:paraId="12FA2A06" w14:textId="14D4F3E7" w:rsidR="0039271F" w:rsidRDefault="00EC53B5" w:rsidP="0039271F">
      <w:pPr>
        <w:pStyle w:val="Prrafodelista"/>
        <w:ind w:left="438" w:firstLine="0"/>
      </w:pPr>
      <w:r>
        <w:t>Evopad 25 µg</w:t>
      </w:r>
      <w:r w:rsidR="003F7418">
        <w:t>/24 h parches trandérmicos – 8 parches</w:t>
      </w:r>
      <w:r w:rsidR="0039271F">
        <w:t xml:space="preserve">, PVP </w:t>
      </w:r>
      <w:r w:rsidR="0039271F" w:rsidRPr="0039271F">
        <w:rPr>
          <w:vertAlign w:val="subscript"/>
        </w:rPr>
        <w:t>IVA</w:t>
      </w:r>
      <w:r w:rsidR="0039271F">
        <w:t xml:space="preserve">: </w:t>
      </w:r>
      <w:r w:rsidR="00136127">
        <w:t>6,09€</w:t>
      </w:r>
    </w:p>
    <w:p w14:paraId="489DA761" w14:textId="576B19FA" w:rsidR="00136127" w:rsidRDefault="00136127" w:rsidP="0039271F">
      <w:pPr>
        <w:pStyle w:val="Prrafodelista"/>
        <w:ind w:left="438" w:firstLine="0"/>
      </w:pPr>
      <w:r>
        <w:t>Evopad 5</w:t>
      </w:r>
      <w:r>
        <w:t>0</w:t>
      </w:r>
      <w:r>
        <w:t xml:space="preserve"> µg/24 h parches trandérmicos – 8 parches, PVP </w:t>
      </w:r>
      <w:r w:rsidRPr="0039271F">
        <w:rPr>
          <w:vertAlign w:val="subscript"/>
        </w:rPr>
        <w:t>IVA</w:t>
      </w:r>
      <w:r>
        <w:t>: 6,9</w:t>
      </w:r>
      <w:r w:rsidR="00CD6C7C">
        <w:t>2</w:t>
      </w:r>
      <w:r>
        <w:t>€</w:t>
      </w:r>
    </w:p>
    <w:p w14:paraId="39358022" w14:textId="582645BA" w:rsidR="00136127" w:rsidRDefault="00136127" w:rsidP="0039271F">
      <w:pPr>
        <w:pStyle w:val="Prrafodelista"/>
        <w:ind w:left="438" w:firstLine="0"/>
      </w:pPr>
      <w:r>
        <w:t xml:space="preserve">Evopad </w:t>
      </w:r>
      <w:r w:rsidR="003D29B5">
        <w:t>7</w:t>
      </w:r>
      <w:r>
        <w:t xml:space="preserve">5 µg/24 h parches trandérmicos – 8 parches, PVP </w:t>
      </w:r>
      <w:r w:rsidRPr="0039271F">
        <w:rPr>
          <w:vertAlign w:val="subscript"/>
        </w:rPr>
        <w:t>IVA</w:t>
      </w:r>
      <w:r>
        <w:t xml:space="preserve">: </w:t>
      </w:r>
      <w:r w:rsidR="00CD6C7C">
        <w:t>7,37</w:t>
      </w:r>
      <w:r>
        <w:t>€</w:t>
      </w:r>
    </w:p>
    <w:p w14:paraId="05B8CB75" w14:textId="54C881C0" w:rsidR="00136127" w:rsidRDefault="00136127" w:rsidP="0039271F">
      <w:pPr>
        <w:pStyle w:val="Prrafodelista"/>
        <w:ind w:left="438" w:firstLine="0"/>
      </w:pPr>
      <w:r>
        <w:t xml:space="preserve">Evopad </w:t>
      </w:r>
      <w:r w:rsidR="003D29B5">
        <w:t>100</w:t>
      </w:r>
      <w:r>
        <w:t xml:space="preserve"> µg/24 h parches trandérmicos – 8 parches, PVP </w:t>
      </w:r>
      <w:r w:rsidRPr="0039271F">
        <w:rPr>
          <w:vertAlign w:val="subscript"/>
        </w:rPr>
        <w:t>IVA</w:t>
      </w:r>
      <w:r>
        <w:t xml:space="preserve">: </w:t>
      </w:r>
      <w:r w:rsidR="00CD6C7C">
        <w:t>7</w:t>
      </w:r>
      <w:r>
        <w:t>,</w:t>
      </w:r>
      <w:r w:rsidR="00CD6C7C">
        <w:t>65</w:t>
      </w:r>
      <w:r>
        <w:t>€</w:t>
      </w:r>
    </w:p>
    <w:p w14:paraId="222AD656" w14:textId="77777777" w:rsidR="0039271F" w:rsidRPr="0039271F" w:rsidRDefault="0039271F" w:rsidP="0039271F">
      <w:pPr>
        <w:pStyle w:val="Prrafodelista"/>
        <w:ind w:left="438" w:firstLine="0"/>
        <w:rPr>
          <w:b/>
        </w:rPr>
      </w:pPr>
    </w:p>
    <w:p w14:paraId="6F8042E0" w14:textId="24AF436A" w:rsidR="00A92E6F" w:rsidRDefault="002C2A4F" w:rsidP="00371630">
      <w:pPr>
        <w:pStyle w:val="Ttulo1"/>
        <w:tabs>
          <w:tab w:val="left" w:pos="549"/>
        </w:tabs>
        <w:ind w:left="436" w:hanging="221"/>
        <w:jc w:val="both"/>
      </w:pPr>
      <w:r>
        <w:t xml:space="preserve">10. </w:t>
      </w:r>
      <w:r w:rsidR="00B07FFE">
        <w:t>FECHA DE LA REVISIÓN DEL</w:t>
      </w:r>
      <w:r w:rsidR="00B07FFE">
        <w:rPr>
          <w:spacing w:val="-6"/>
        </w:rPr>
        <w:t xml:space="preserve"> </w:t>
      </w:r>
      <w:r w:rsidR="00B07FFE">
        <w:t>TEXTO</w:t>
      </w:r>
    </w:p>
    <w:p w14:paraId="6F8042E1" w14:textId="77777777" w:rsidR="00A92E6F" w:rsidRDefault="00A92E6F">
      <w:pPr>
        <w:pStyle w:val="Textoindependiente"/>
        <w:spacing w:before="4"/>
        <w:rPr>
          <w:b/>
          <w:sz w:val="20"/>
        </w:rPr>
      </w:pPr>
    </w:p>
    <w:p w14:paraId="6F8042E2" w14:textId="7B828B10" w:rsidR="00A92E6F" w:rsidRDefault="00DA36C9">
      <w:pPr>
        <w:pStyle w:val="Textoindependiente"/>
        <w:spacing w:before="1"/>
        <w:ind w:left="217"/>
        <w:jc w:val="both"/>
      </w:pPr>
      <w:r>
        <w:t>12</w:t>
      </w:r>
      <w:r w:rsidR="00B07FFE">
        <w:t>/20</w:t>
      </w:r>
      <w:r w:rsidR="00AE73EB">
        <w:t>20</w:t>
      </w:r>
    </w:p>
    <w:sectPr w:rsidR="00A92E6F" w:rsidSect="006A5C24">
      <w:pgSz w:w="11910" w:h="16840"/>
      <w:pgMar w:top="1418" w:right="1134" w:bottom="1134" w:left="1418"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CE54E" w14:textId="77777777" w:rsidR="007765A8" w:rsidRDefault="007765A8">
      <w:r>
        <w:separator/>
      </w:r>
    </w:p>
  </w:endnote>
  <w:endnote w:type="continuationSeparator" w:id="0">
    <w:p w14:paraId="5DB7693C" w14:textId="77777777" w:rsidR="007765A8" w:rsidRDefault="0077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59CC" w14:textId="77777777" w:rsidR="00C604FF" w:rsidRDefault="00C604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4310" w14:textId="77777777" w:rsidR="00103AD7" w:rsidRDefault="007765A8">
    <w:pPr>
      <w:pStyle w:val="Textoindependiente"/>
      <w:spacing w:line="14" w:lineRule="auto"/>
      <w:rPr>
        <w:sz w:val="16"/>
      </w:rPr>
    </w:pPr>
    <w:r>
      <w:pict w14:anchorId="6F804311">
        <v:shapetype id="_x0000_t202" coordsize="21600,21600" o:spt="202" path="m,l,21600r21600,l21600,xe">
          <v:stroke joinstyle="miter"/>
          <v:path gradientshapeok="t" o:connecttype="rect"/>
        </v:shapetype>
        <v:shape id="_x0000_s2049" type="#_x0000_t202" style="position:absolute;margin-left:280.3pt;margin-top:791.2pt;width:41.05pt;height:14.25pt;z-index:-251658752;mso-position-horizontal-relative:page;mso-position-vertical-relative:page" filled="f" stroked="f">
          <v:textbox inset="0,0,0,0">
            <w:txbxContent>
              <w:p w14:paraId="6F804313" w14:textId="77777777" w:rsidR="00103AD7" w:rsidRDefault="00103AD7">
                <w:pPr>
                  <w:pStyle w:val="Textoindependiente"/>
                  <w:spacing w:before="11"/>
                  <w:ind w:left="40"/>
                </w:pPr>
                <w:r>
                  <w:fldChar w:fldCharType="begin"/>
                </w:r>
                <w:r>
                  <w:instrText xml:space="preserve"> PAGE </w:instrText>
                </w:r>
                <w:r>
                  <w:fldChar w:fldCharType="separate"/>
                </w:r>
                <w:r>
                  <w:t>13</w:t>
                </w:r>
                <w:r>
                  <w:fldChar w:fldCharType="end"/>
                </w:r>
                <w:r>
                  <w:t xml:space="preserve"> de 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D2D3B" w14:textId="77777777" w:rsidR="00C604FF" w:rsidRDefault="00C604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28E7A" w14:textId="77777777" w:rsidR="007765A8" w:rsidRDefault="007765A8">
      <w:r>
        <w:separator/>
      </w:r>
    </w:p>
  </w:footnote>
  <w:footnote w:type="continuationSeparator" w:id="0">
    <w:p w14:paraId="5AD13317" w14:textId="77777777" w:rsidR="007765A8" w:rsidRDefault="0077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855E0" w14:textId="77777777" w:rsidR="00C604FF" w:rsidRDefault="00C604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57CF" w14:textId="77777777" w:rsidR="00C604FF" w:rsidRDefault="00C604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FEE2" w14:textId="77777777" w:rsidR="00C604FF" w:rsidRDefault="00C60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D8E"/>
    <w:multiLevelType w:val="multilevel"/>
    <w:tmpl w:val="B6161002"/>
    <w:lvl w:ilvl="0">
      <w:start w:val="1"/>
      <w:numFmt w:val="decimal"/>
      <w:lvlText w:val="%1."/>
      <w:lvlJc w:val="left"/>
      <w:pPr>
        <w:ind w:left="438" w:hanging="221"/>
      </w:pPr>
      <w:rPr>
        <w:rFonts w:ascii="Times New Roman" w:eastAsia="Times New Roman" w:hAnsi="Times New Roman" w:cs="Times New Roman" w:hint="default"/>
        <w:b/>
        <w:bCs/>
        <w:w w:val="100"/>
        <w:sz w:val="22"/>
        <w:szCs w:val="22"/>
        <w:lang w:val="es-ES" w:eastAsia="es-ES" w:bidi="es-ES"/>
      </w:rPr>
    </w:lvl>
    <w:lvl w:ilvl="1">
      <w:start w:val="1"/>
      <w:numFmt w:val="decimal"/>
      <w:lvlText w:val="%1.%2"/>
      <w:lvlJc w:val="left"/>
      <w:pPr>
        <w:ind w:left="548" w:hanging="332"/>
      </w:pPr>
      <w:rPr>
        <w:rFonts w:ascii="Times New Roman" w:eastAsia="Times New Roman" w:hAnsi="Times New Roman" w:cs="Times New Roman" w:hint="default"/>
        <w:b/>
        <w:bCs/>
        <w:w w:val="100"/>
        <w:sz w:val="22"/>
        <w:szCs w:val="22"/>
        <w:lang w:val="es-ES" w:eastAsia="es-ES" w:bidi="es-ES"/>
      </w:rPr>
    </w:lvl>
    <w:lvl w:ilvl="2">
      <w:numFmt w:val="bullet"/>
      <w:lvlText w:val=""/>
      <w:lvlJc w:val="left"/>
      <w:pPr>
        <w:ind w:left="817" w:hanging="207"/>
      </w:pPr>
      <w:rPr>
        <w:rFonts w:ascii="Symbol" w:eastAsia="Symbol" w:hAnsi="Symbol" w:cs="Symbol" w:hint="default"/>
        <w:w w:val="100"/>
        <w:sz w:val="22"/>
        <w:szCs w:val="22"/>
        <w:lang w:val="es-ES" w:eastAsia="es-ES" w:bidi="es-ES"/>
      </w:rPr>
    </w:lvl>
    <w:lvl w:ilvl="3">
      <w:numFmt w:val="bullet"/>
      <w:lvlText w:val="•"/>
      <w:lvlJc w:val="left"/>
      <w:pPr>
        <w:ind w:left="820" w:hanging="207"/>
      </w:pPr>
      <w:rPr>
        <w:rFonts w:hint="default"/>
        <w:lang w:val="es-ES" w:eastAsia="es-ES" w:bidi="es-ES"/>
      </w:rPr>
    </w:lvl>
    <w:lvl w:ilvl="4">
      <w:numFmt w:val="bullet"/>
      <w:lvlText w:val="•"/>
      <w:lvlJc w:val="left"/>
      <w:pPr>
        <w:ind w:left="2178" w:hanging="207"/>
      </w:pPr>
      <w:rPr>
        <w:rFonts w:hint="default"/>
        <w:lang w:val="es-ES" w:eastAsia="es-ES" w:bidi="es-ES"/>
      </w:rPr>
    </w:lvl>
    <w:lvl w:ilvl="5">
      <w:numFmt w:val="bullet"/>
      <w:lvlText w:val="•"/>
      <w:lvlJc w:val="left"/>
      <w:pPr>
        <w:ind w:left="3536" w:hanging="207"/>
      </w:pPr>
      <w:rPr>
        <w:rFonts w:hint="default"/>
        <w:lang w:val="es-ES" w:eastAsia="es-ES" w:bidi="es-ES"/>
      </w:rPr>
    </w:lvl>
    <w:lvl w:ilvl="6">
      <w:numFmt w:val="bullet"/>
      <w:lvlText w:val="•"/>
      <w:lvlJc w:val="left"/>
      <w:pPr>
        <w:ind w:left="4894" w:hanging="207"/>
      </w:pPr>
      <w:rPr>
        <w:rFonts w:hint="default"/>
        <w:lang w:val="es-ES" w:eastAsia="es-ES" w:bidi="es-ES"/>
      </w:rPr>
    </w:lvl>
    <w:lvl w:ilvl="7">
      <w:numFmt w:val="bullet"/>
      <w:lvlText w:val="•"/>
      <w:lvlJc w:val="left"/>
      <w:pPr>
        <w:ind w:left="6252" w:hanging="207"/>
      </w:pPr>
      <w:rPr>
        <w:rFonts w:hint="default"/>
        <w:lang w:val="es-ES" w:eastAsia="es-ES" w:bidi="es-ES"/>
      </w:rPr>
    </w:lvl>
    <w:lvl w:ilvl="8">
      <w:numFmt w:val="bullet"/>
      <w:lvlText w:val="•"/>
      <w:lvlJc w:val="left"/>
      <w:pPr>
        <w:ind w:left="7610" w:hanging="207"/>
      </w:pPr>
      <w:rPr>
        <w:rFonts w:hint="default"/>
        <w:lang w:val="es-ES" w:eastAsia="es-ES" w:bidi="es-ES"/>
      </w:rPr>
    </w:lvl>
  </w:abstractNum>
  <w:abstractNum w:abstractNumId="1" w15:restartNumberingAfterBreak="0">
    <w:nsid w:val="26013F49"/>
    <w:multiLevelType w:val="hybridMultilevel"/>
    <w:tmpl w:val="40ECFDB0"/>
    <w:lvl w:ilvl="0" w:tplc="D60AE6B6">
      <w:start w:val="7"/>
      <w:numFmt w:val="decimal"/>
      <w:lvlText w:val="%1."/>
      <w:lvlJc w:val="left"/>
      <w:pPr>
        <w:ind w:left="438" w:hanging="221"/>
      </w:pPr>
      <w:rPr>
        <w:rFonts w:ascii="Times New Roman" w:eastAsia="Times New Roman" w:hAnsi="Times New Roman" w:cs="Times New Roman" w:hint="default"/>
        <w:b/>
        <w:bCs/>
        <w:w w:val="100"/>
        <w:sz w:val="22"/>
        <w:szCs w:val="22"/>
        <w:lang w:val="es-ES" w:eastAsia="es-ES" w:bidi="es-ES"/>
      </w:rPr>
    </w:lvl>
    <w:lvl w:ilvl="1" w:tplc="547C9984">
      <w:numFmt w:val="bullet"/>
      <w:lvlText w:val="•"/>
      <w:lvlJc w:val="left"/>
      <w:pPr>
        <w:ind w:left="1428" w:hanging="221"/>
      </w:pPr>
      <w:rPr>
        <w:rFonts w:hint="default"/>
        <w:lang w:val="es-ES" w:eastAsia="es-ES" w:bidi="es-ES"/>
      </w:rPr>
    </w:lvl>
    <w:lvl w:ilvl="2" w:tplc="C3483956">
      <w:numFmt w:val="bullet"/>
      <w:lvlText w:val="•"/>
      <w:lvlJc w:val="left"/>
      <w:pPr>
        <w:ind w:left="2417" w:hanging="221"/>
      </w:pPr>
      <w:rPr>
        <w:rFonts w:hint="default"/>
        <w:lang w:val="es-ES" w:eastAsia="es-ES" w:bidi="es-ES"/>
      </w:rPr>
    </w:lvl>
    <w:lvl w:ilvl="3" w:tplc="182CD728">
      <w:numFmt w:val="bullet"/>
      <w:lvlText w:val="•"/>
      <w:lvlJc w:val="left"/>
      <w:pPr>
        <w:ind w:left="3405" w:hanging="221"/>
      </w:pPr>
      <w:rPr>
        <w:rFonts w:hint="default"/>
        <w:lang w:val="es-ES" w:eastAsia="es-ES" w:bidi="es-ES"/>
      </w:rPr>
    </w:lvl>
    <w:lvl w:ilvl="4" w:tplc="9CFC0332">
      <w:numFmt w:val="bullet"/>
      <w:lvlText w:val="•"/>
      <w:lvlJc w:val="left"/>
      <w:pPr>
        <w:ind w:left="4394" w:hanging="221"/>
      </w:pPr>
      <w:rPr>
        <w:rFonts w:hint="default"/>
        <w:lang w:val="es-ES" w:eastAsia="es-ES" w:bidi="es-ES"/>
      </w:rPr>
    </w:lvl>
    <w:lvl w:ilvl="5" w:tplc="CF707ABE">
      <w:numFmt w:val="bullet"/>
      <w:lvlText w:val="•"/>
      <w:lvlJc w:val="left"/>
      <w:pPr>
        <w:ind w:left="5383" w:hanging="221"/>
      </w:pPr>
      <w:rPr>
        <w:rFonts w:hint="default"/>
        <w:lang w:val="es-ES" w:eastAsia="es-ES" w:bidi="es-ES"/>
      </w:rPr>
    </w:lvl>
    <w:lvl w:ilvl="6" w:tplc="6DB0850C">
      <w:numFmt w:val="bullet"/>
      <w:lvlText w:val="•"/>
      <w:lvlJc w:val="left"/>
      <w:pPr>
        <w:ind w:left="6371" w:hanging="221"/>
      </w:pPr>
      <w:rPr>
        <w:rFonts w:hint="default"/>
        <w:lang w:val="es-ES" w:eastAsia="es-ES" w:bidi="es-ES"/>
      </w:rPr>
    </w:lvl>
    <w:lvl w:ilvl="7" w:tplc="9FF4C5EE">
      <w:numFmt w:val="bullet"/>
      <w:lvlText w:val="•"/>
      <w:lvlJc w:val="left"/>
      <w:pPr>
        <w:ind w:left="7360" w:hanging="221"/>
      </w:pPr>
      <w:rPr>
        <w:rFonts w:hint="default"/>
        <w:lang w:val="es-ES" w:eastAsia="es-ES" w:bidi="es-ES"/>
      </w:rPr>
    </w:lvl>
    <w:lvl w:ilvl="8" w:tplc="E79A82E0">
      <w:numFmt w:val="bullet"/>
      <w:lvlText w:val="•"/>
      <w:lvlJc w:val="left"/>
      <w:pPr>
        <w:ind w:left="8349" w:hanging="221"/>
      </w:pPr>
      <w:rPr>
        <w:rFonts w:hint="default"/>
        <w:lang w:val="es-ES" w:eastAsia="es-ES" w:bidi="es-ES"/>
      </w:rPr>
    </w:lvl>
  </w:abstractNum>
  <w:abstractNum w:abstractNumId="2" w15:restartNumberingAfterBreak="0">
    <w:nsid w:val="28F75921"/>
    <w:multiLevelType w:val="multilevel"/>
    <w:tmpl w:val="78468608"/>
    <w:lvl w:ilvl="0">
      <w:start w:val="6"/>
      <w:numFmt w:val="decimal"/>
      <w:lvlText w:val="%1"/>
      <w:lvlJc w:val="left"/>
      <w:pPr>
        <w:ind w:left="382" w:hanging="166"/>
      </w:pPr>
      <w:rPr>
        <w:rFonts w:ascii="Times New Roman" w:eastAsia="Times New Roman" w:hAnsi="Times New Roman" w:cs="Times New Roman" w:hint="default"/>
        <w:b/>
        <w:bCs/>
        <w:w w:val="100"/>
        <w:sz w:val="22"/>
        <w:szCs w:val="22"/>
        <w:lang w:val="es-ES" w:eastAsia="es-ES" w:bidi="es-ES"/>
      </w:rPr>
    </w:lvl>
    <w:lvl w:ilvl="1">
      <w:start w:val="1"/>
      <w:numFmt w:val="decimal"/>
      <w:lvlText w:val="%1.%2"/>
      <w:lvlJc w:val="left"/>
      <w:pPr>
        <w:ind w:left="548" w:hanging="332"/>
      </w:pPr>
      <w:rPr>
        <w:rFonts w:ascii="Times New Roman" w:eastAsia="Times New Roman" w:hAnsi="Times New Roman" w:cs="Times New Roman" w:hint="default"/>
        <w:b/>
        <w:bCs/>
        <w:w w:val="100"/>
        <w:sz w:val="22"/>
        <w:szCs w:val="22"/>
        <w:lang w:val="es-ES" w:eastAsia="es-ES" w:bidi="es-ES"/>
      </w:rPr>
    </w:lvl>
    <w:lvl w:ilvl="2">
      <w:numFmt w:val="bullet"/>
      <w:lvlText w:val="•"/>
      <w:lvlJc w:val="left"/>
      <w:pPr>
        <w:ind w:left="1627" w:hanging="332"/>
      </w:pPr>
      <w:rPr>
        <w:rFonts w:hint="default"/>
        <w:lang w:val="es-ES" w:eastAsia="es-ES" w:bidi="es-ES"/>
      </w:rPr>
    </w:lvl>
    <w:lvl w:ilvl="3">
      <w:numFmt w:val="bullet"/>
      <w:lvlText w:val="•"/>
      <w:lvlJc w:val="left"/>
      <w:pPr>
        <w:ind w:left="2714" w:hanging="332"/>
      </w:pPr>
      <w:rPr>
        <w:rFonts w:hint="default"/>
        <w:lang w:val="es-ES" w:eastAsia="es-ES" w:bidi="es-ES"/>
      </w:rPr>
    </w:lvl>
    <w:lvl w:ilvl="4">
      <w:numFmt w:val="bullet"/>
      <w:lvlText w:val="•"/>
      <w:lvlJc w:val="left"/>
      <w:pPr>
        <w:ind w:left="3802" w:hanging="332"/>
      </w:pPr>
      <w:rPr>
        <w:rFonts w:hint="default"/>
        <w:lang w:val="es-ES" w:eastAsia="es-ES" w:bidi="es-ES"/>
      </w:rPr>
    </w:lvl>
    <w:lvl w:ilvl="5">
      <w:numFmt w:val="bullet"/>
      <w:lvlText w:val="•"/>
      <w:lvlJc w:val="left"/>
      <w:pPr>
        <w:ind w:left="4889" w:hanging="332"/>
      </w:pPr>
      <w:rPr>
        <w:rFonts w:hint="default"/>
        <w:lang w:val="es-ES" w:eastAsia="es-ES" w:bidi="es-ES"/>
      </w:rPr>
    </w:lvl>
    <w:lvl w:ilvl="6">
      <w:numFmt w:val="bullet"/>
      <w:lvlText w:val="•"/>
      <w:lvlJc w:val="left"/>
      <w:pPr>
        <w:ind w:left="5976" w:hanging="332"/>
      </w:pPr>
      <w:rPr>
        <w:rFonts w:hint="default"/>
        <w:lang w:val="es-ES" w:eastAsia="es-ES" w:bidi="es-ES"/>
      </w:rPr>
    </w:lvl>
    <w:lvl w:ilvl="7">
      <w:numFmt w:val="bullet"/>
      <w:lvlText w:val="•"/>
      <w:lvlJc w:val="left"/>
      <w:pPr>
        <w:ind w:left="7064" w:hanging="332"/>
      </w:pPr>
      <w:rPr>
        <w:rFonts w:hint="default"/>
        <w:lang w:val="es-ES" w:eastAsia="es-ES" w:bidi="es-ES"/>
      </w:rPr>
    </w:lvl>
    <w:lvl w:ilvl="8">
      <w:numFmt w:val="bullet"/>
      <w:lvlText w:val="•"/>
      <w:lvlJc w:val="left"/>
      <w:pPr>
        <w:ind w:left="8151" w:hanging="332"/>
      </w:pPr>
      <w:rPr>
        <w:rFonts w:hint="default"/>
        <w:lang w:val="es-ES" w:eastAsia="es-ES" w:bidi="es-ES"/>
      </w:rPr>
    </w:lvl>
  </w:abstractNum>
  <w:abstractNum w:abstractNumId="3" w15:restartNumberingAfterBreak="0">
    <w:nsid w:val="666F6D87"/>
    <w:multiLevelType w:val="hybridMultilevel"/>
    <w:tmpl w:val="66F670CA"/>
    <w:lvl w:ilvl="0" w:tplc="6B10ACF0">
      <w:numFmt w:val="bullet"/>
      <w:lvlText w:val=""/>
      <w:lvlJc w:val="left"/>
      <w:pPr>
        <w:ind w:left="817" w:hanging="567"/>
      </w:pPr>
      <w:rPr>
        <w:rFonts w:ascii="Symbol" w:eastAsia="Symbol" w:hAnsi="Symbol" w:cs="Symbol" w:hint="default"/>
        <w:w w:val="100"/>
        <w:sz w:val="22"/>
        <w:szCs w:val="22"/>
        <w:lang w:val="es-ES" w:eastAsia="es-ES" w:bidi="es-ES"/>
      </w:rPr>
    </w:lvl>
    <w:lvl w:ilvl="1" w:tplc="197E6988">
      <w:numFmt w:val="bullet"/>
      <w:lvlText w:val="•"/>
      <w:lvlJc w:val="left"/>
      <w:pPr>
        <w:ind w:left="1770" w:hanging="567"/>
      </w:pPr>
      <w:rPr>
        <w:rFonts w:hint="default"/>
        <w:lang w:val="es-ES" w:eastAsia="es-ES" w:bidi="es-ES"/>
      </w:rPr>
    </w:lvl>
    <w:lvl w:ilvl="2" w:tplc="2644634E">
      <w:numFmt w:val="bullet"/>
      <w:lvlText w:val="•"/>
      <w:lvlJc w:val="left"/>
      <w:pPr>
        <w:ind w:left="2721" w:hanging="567"/>
      </w:pPr>
      <w:rPr>
        <w:rFonts w:hint="default"/>
        <w:lang w:val="es-ES" w:eastAsia="es-ES" w:bidi="es-ES"/>
      </w:rPr>
    </w:lvl>
    <w:lvl w:ilvl="3" w:tplc="FB98A404">
      <w:numFmt w:val="bullet"/>
      <w:lvlText w:val="•"/>
      <w:lvlJc w:val="left"/>
      <w:pPr>
        <w:ind w:left="3671" w:hanging="567"/>
      </w:pPr>
      <w:rPr>
        <w:rFonts w:hint="default"/>
        <w:lang w:val="es-ES" w:eastAsia="es-ES" w:bidi="es-ES"/>
      </w:rPr>
    </w:lvl>
    <w:lvl w:ilvl="4" w:tplc="ACAE37EA">
      <w:numFmt w:val="bullet"/>
      <w:lvlText w:val="•"/>
      <w:lvlJc w:val="left"/>
      <w:pPr>
        <w:ind w:left="4622" w:hanging="567"/>
      </w:pPr>
      <w:rPr>
        <w:rFonts w:hint="default"/>
        <w:lang w:val="es-ES" w:eastAsia="es-ES" w:bidi="es-ES"/>
      </w:rPr>
    </w:lvl>
    <w:lvl w:ilvl="5" w:tplc="793C922E">
      <w:numFmt w:val="bullet"/>
      <w:lvlText w:val="•"/>
      <w:lvlJc w:val="left"/>
      <w:pPr>
        <w:ind w:left="5573" w:hanging="567"/>
      </w:pPr>
      <w:rPr>
        <w:rFonts w:hint="default"/>
        <w:lang w:val="es-ES" w:eastAsia="es-ES" w:bidi="es-ES"/>
      </w:rPr>
    </w:lvl>
    <w:lvl w:ilvl="6" w:tplc="8E06074C">
      <w:numFmt w:val="bullet"/>
      <w:lvlText w:val="•"/>
      <w:lvlJc w:val="left"/>
      <w:pPr>
        <w:ind w:left="6523" w:hanging="567"/>
      </w:pPr>
      <w:rPr>
        <w:rFonts w:hint="default"/>
        <w:lang w:val="es-ES" w:eastAsia="es-ES" w:bidi="es-ES"/>
      </w:rPr>
    </w:lvl>
    <w:lvl w:ilvl="7" w:tplc="35B27636">
      <w:numFmt w:val="bullet"/>
      <w:lvlText w:val="•"/>
      <w:lvlJc w:val="left"/>
      <w:pPr>
        <w:ind w:left="7474" w:hanging="567"/>
      </w:pPr>
      <w:rPr>
        <w:rFonts w:hint="default"/>
        <w:lang w:val="es-ES" w:eastAsia="es-ES" w:bidi="es-ES"/>
      </w:rPr>
    </w:lvl>
    <w:lvl w:ilvl="8" w:tplc="60FC1BB4">
      <w:numFmt w:val="bullet"/>
      <w:lvlText w:val="•"/>
      <w:lvlJc w:val="left"/>
      <w:pPr>
        <w:ind w:left="8425" w:hanging="567"/>
      </w:pPr>
      <w:rPr>
        <w:rFonts w:hint="default"/>
        <w:lang w:val="es-ES" w:eastAsia="es-ES" w:bidi="es-ES"/>
      </w:rPr>
    </w:lvl>
  </w:abstractNum>
  <w:abstractNum w:abstractNumId="4" w15:restartNumberingAfterBreak="0">
    <w:nsid w:val="7ECB0751"/>
    <w:multiLevelType w:val="hybridMultilevel"/>
    <w:tmpl w:val="B59EE39E"/>
    <w:lvl w:ilvl="0" w:tplc="A3824A78">
      <w:numFmt w:val="bullet"/>
      <w:lvlText w:val="o"/>
      <w:lvlJc w:val="left"/>
      <w:pPr>
        <w:ind w:left="937" w:hanging="720"/>
      </w:pPr>
      <w:rPr>
        <w:rFonts w:ascii="Courier New" w:eastAsia="Courier New" w:hAnsi="Courier New" w:cs="Courier New" w:hint="default"/>
        <w:w w:val="100"/>
        <w:sz w:val="22"/>
        <w:szCs w:val="22"/>
        <w:lang w:val="es-ES" w:eastAsia="es-ES" w:bidi="es-ES"/>
      </w:rPr>
    </w:lvl>
    <w:lvl w:ilvl="1" w:tplc="4BA2EDEA">
      <w:numFmt w:val="bullet"/>
      <w:lvlText w:val="•"/>
      <w:lvlJc w:val="left"/>
      <w:pPr>
        <w:ind w:left="1878" w:hanging="720"/>
      </w:pPr>
      <w:rPr>
        <w:rFonts w:hint="default"/>
        <w:lang w:val="es-ES" w:eastAsia="es-ES" w:bidi="es-ES"/>
      </w:rPr>
    </w:lvl>
    <w:lvl w:ilvl="2" w:tplc="BF08514C">
      <w:numFmt w:val="bullet"/>
      <w:lvlText w:val="•"/>
      <w:lvlJc w:val="left"/>
      <w:pPr>
        <w:ind w:left="2817" w:hanging="720"/>
      </w:pPr>
      <w:rPr>
        <w:rFonts w:hint="default"/>
        <w:lang w:val="es-ES" w:eastAsia="es-ES" w:bidi="es-ES"/>
      </w:rPr>
    </w:lvl>
    <w:lvl w:ilvl="3" w:tplc="252A035E">
      <w:numFmt w:val="bullet"/>
      <w:lvlText w:val="•"/>
      <w:lvlJc w:val="left"/>
      <w:pPr>
        <w:ind w:left="3755" w:hanging="720"/>
      </w:pPr>
      <w:rPr>
        <w:rFonts w:hint="default"/>
        <w:lang w:val="es-ES" w:eastAsia="es-ES" w:bidi="es-ES"/>
      </w:rPr>
    </w:lvl>
    <w:lvl w:ilvl="4" w:tplc="83E428C8">
      <w:numFmt w:val="bullet"/>
      <w:lvlText w:val="•"/>
      <w:lvlJc w:val="left"/>
      <w:pPr>
        <w:ind w:left="4694" w:hanging="720"/>
      </w:pPr>
      <w:rPr>
        <w:rFonts w:hint="default"/>
        <w:lang w:val="es-ES" w:eastAsia="es-ES" w:bidi="es-ES"/>
      </w:rPr>
    </w:lvl>
    <w:lvl w:ilvl="5" w:tplc="C498B702">
      <w:numFmt w:val="bullet"/>
      <w:lvlText w:val="•"/>
      <w:lvlJc w:val="left"/>
      <w:pPr>
        <w:ind w:left="5633" w:hanging="720"/>
      </w:pPr>
      <w:rPr>
        <w:rFonts w:hint="default"/>
        <w:lang w:val="es-ES" w:eastAsia="es-ES" w:bidi="es-ES"/>
      </w:rPr>
    </w:lvl>
    <w:lvl w:ilvl="6" w:tplc="5394A3F2">
      <w:numFmt w:val="bullet"/>
      <w:lvlText w:val="•"/>
      <w:lvlJc w:val="left"/>
      <w:pPr>
        <w:ind w:left="6571" w:hanging="720"/>
      </w:pPr>
      <w:rPr>
        <w:rFonts w:hint="default"/>
        <w:lang w:val="es-ES" w:eastAsia="es-ES" w:bidi="es-ES"/>
      </w:rPr>
    </w:lvl>
    <w:lvl w:ilvl="7" w:tplc="25F0AAC4">
      <w:numFmt w:val="bullet"/>
      <w:lvlText w:val="•"/>
      <w:lvlJc w:val="left"/>
      <w:pPr>
        <w:ind w:left="7510" w:hanging="720"/>
      </w:pPr>
      <w:rPr>
        <w:rFonts w:hint="default"/>
        <w:lang w:val="es-ES" w:eastAsia="es-ES" w:bidi="es-ES"/>
      </w:rPr>
    </w:lvl>
    <w:lvl w:ilvl="8" w:tplc="9774C9F2">
      <w:numFmt w:val="bullet"/>
      <w:lvlText w:val="•"/>
      <w:lvlJc w:val="left"/>
      <w:pPr>
        <w:ind w:left="8449" w:hanging="720"/>
      </w:pPr>
      <w:rPr>
        <w:rFonts w:hint="default"/>
        <w:lang w:val="es-ES" w:eastAsia="es-ES" w:bidi="es-E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92E6F"/>
    <w:rsid w:val="00000667"/>
    <w:rsid w:val="00062BB8"/>
    <w:rsid w:val="000845AB"/>
    <w:rsid w:val="000910D9"/>
    <w:rsid w:val="00094E14"/>
    <w:rsid w:val="000C48B6"/>
    <w:rsid w:val="000D5DB7"/>
    <w:rsid w:val="000F2040"/>
    <w:rsid w:val="00103AD7"/>
    <w:rsid w:val="00136127"/>
    <w:rsid w:val="00153206"/>
    <w:rsid w:val="0019781F"/>
    <w:rsid w:val="001E0B31"/>
    <w:rsid w:val="0021268B"/>
    <w:rsid w:val="0022418B"/>
    <w:rsid w:val="00270EB6"/>
    <w:rsid w:val="00272D70"/>
    <w:rsid w:val="00283B28"/>
    <w:rsid w:val="002A0F08"/>
    <w:rsid w:val="002C2A4F"/>
    <w:rsid w:val="002E7B66"/>
    <w:rsid w:val="00301EE4"/>
    <w:rsid w:val="00316062"/>
    <w:rsid w:val="00316F52"/>
    <w:rsid w:val="0035038C"/>
    <w:rsid w:val="00352716"/>
    <w:rsid w:val="00371630"/>
    <w:rsid w:val="00391E92"/>
    <w:rsid w:val="0039271F"/>
    <w:rsid w:val="003C312D"/>
    <w:rsid w:val="003D29B5"/>
    <w:rsid w:val="003F7418"/>
    <w:rsid w:val="0043263C"/>
    <w:rsid w:val="0045059D"/>
    <w:rsid w:val="00465DA8"/>
    <w:rsid w:val="004A3990"/>
    <w:rsid w:val="004C5532"/>
    <w:rsid w:val="004D3CEA"/>
    <w:rsid w:val="004D7AB6"/>
    <w:rsid w:val="0051157A"/>
    <w:rsid w:val="00530380"/>
    <w:rsid w:val="00556099"/>
    <w:rsid w:val="005A74EE"/>
    <w:rsid w:val="005C7749"/>
    <w:rsid w:val="005D30F6"/>
    <w:rsid w:val="00606AA8"/>
    <w:rsid w:val="00617585"/>
    <w:rsid w:val="00691F8C"/>
    <w:rsid w:val="006A5C24"/>
    <w:rsid w:val="006C30DB"/>
    <w:rsid w:val="006C3648"/>
    <w:rsid w:val="00706079"/>
    <w:rsid w:val="0072729C"/>
    <w:rsid w:val="007439C5"/>
    <w:rsid w:val="007538CF"/>
    <w:rsid w:val="0077495F"/>
    <w:rsid w:val="007765A8"/>
    <w:rsid w:val="007B67F9"/>
    <w:rsid w:val="007E4859"/>
    <w:rsid w:val="00815103"/>
    <w:rsid w:val="00825539"/>
    <w:rsid w:val="008259C4"/>
    <w:rsid w:val="00856A30"/>
    <w:rsid w:val="008742B0"/>
    <w:rsid w:val="008B11DA"/>
    <w:rsid w:val="008D586B"/>
    <w:rsid w:val="008D5A09"/>
    <w:rsid w:val="008E13B4"/>
    <w:rsid w:val="008F0C54"/>
    <w:rsid w:val="0091540F"/>
    <w:rsid w:val="00933F76"/>
    <w:rsid w:val="0094069D"/>
    <w:rsid w:val="00993D43"/>
    <w:rsid w:val="009B743E"/>
    <w:rsid w:val="009C39E1"/>
    <w:rsid w:val="00A305D0"/>
    <w:rsid w:val="00A44770"/>
    <w:rsid w:val="00A50424"/>
    <w:rsid w:val="00A50C61"/>
    <w:rsid w:val="00A6623D"/>
    <w:rsid w:val="00A92E6F"/>
    <w:rsid w:val="00AE73EB"/>
    <w:rsid w:val="00AF1629"/>
    <w:rsid w:val="00B0168B"/>
    <w:rsid w:val="00B07FFE"/>
    <w:rsid w:val="00B95B3F"/>
    <w:rsid w:val="00BB306B"/>
    <w:rsid w:val="00BC710A"/>
    <w:rsid w:val="00C47322"/>
    <w:rsid w:val="00C604FF"/>
    <w:rsid w:val="00C74B0D"/>
    <w:rsid w:val="00CC659C"/>
    <w:rsid w:val="00CD6C7C"/>
    <w:rsid w:val="00CE3466"/>
    <w:rsid w:val="00D01086"/>
    <w:rsid w:val="00D1409D"/>
    <w:rsid w:val="00D2476D"/>
    <w:rsid w:val="00D34EC4"/>
    <w:rsid w:val="00D501C5"/>
    <w:rsid w:val="00D61F89"/>
    <w:rsid w:val="00DA36C9"/>
    <w:rsid w:val="00DE5F2C"/>
    <w:rsid w:val="00E1651B"/>
    <w:rsid w:val="00E94B1B"/>
    <w:rsid w:val="00EB66FA"/>
    <w:rsid w:val="00EC53B5"/>
    <w:rsid w:val="00ED39F4"/>
    <w:rsid w:val="00F13A74"/>
    <w:rsid w:val="00F21A48"/>
    <w:rsid w:val="00F45FF3"/>
    <w:rsid w:val="00F74D6F"/>
    <w:rsid w:val="00F77E41"/>
    <w:rsid w:val="00FC2117"/>
    <w:rsid w:val="00FE3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803F1D"/>
  <w15:docId w15:val="{A13D449F-9F5A-4449-B97A-E515E8AC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217"/>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83" w:hanging="206"/>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E34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466"/>
    <w:rPr>
      <w:rFonts w:ascii="Segoe UI" w:eastAsia="Times New Roman" w:hAnsi="Segoe UI" w:cs="Segoe UI"/>
      <w:sz w:val="18"/>
      <w:szCs w:val="18"/>
      <w:lang w:val="es-ES" w:eastAsia="es-ES" w:bidi="es-ES"/>
    </w:rPr>
  </w:style>
  <w:style w:type="paragraph" w:styleId="Encabezado">
    <w:name w:val="header"/>
    <w:basedOn w:val="Normal"/>
    <w:link w:val="EncabezadoCar"/>
    <w:uiPriority w:val="99"/>
    <w:unhideWhenUsed/>
    <w:rsid w:val="00C604FF"/>
    <w:pPr>
      <w:tabs>
        <w:tab w:val="center" w:pos="4252"/>
        <w:tab w:val="right" w:pos="8504"/>
      </w:tabs>
    </w:pPr>
  </w:style>
  <w:style w:type="character" w:customStyle="1" w:styleId="EncabezadoCar">
    <w:name w:val="Encabezado Car"/>
    <w:basedOn w:val="Fuentedeprrafopredeter"/>
    <w:link w:val="Encabezado"/>
    <w:uiPriority w:val="99"/>
    <w:rsid w:val="00C604FF"/>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C604FF"/>
    <w:pPr>
      <w:tabs>
        <w:tab w:val="center" w:pos="4252"/>
        <w:tab w:val="right" w:pos="8504"/>
      </w:tabs>
    </w:pPr>
  </w:style>
  <w:style w:type="character" w:customStyle="1" w:styleId="PiedepginaCar">
    <w:name w:val="Pie de página Car"/>
    <w:basedOn w:val="Fuentedeprrafopredeter"/>
    <w:link w:val="Piedepgina"/>
    <w:uiPriority w:val="99"/>
    <w:rsid w:val="00C604FF"/>
    <w:rPr>
      <w:rFonts w:ascii="Times New Roman" w:eastAsia="Times New Roman" w:hAnsi="Times New Roman" w:cs="Times New Roman"/>
      <w:lang w:val="es-ES" w:eastAsia="es-ES" w:bidi="es-ES"/>
    </w:rPr>
  </w:style>
  <w:style w:type="paragraph" w:styleId="Sinespaciado">
    <w:name w:val="No Spacing"/>
    <w:link w:val="SinespaciadoCar"/>
    <w:uiPriority w:val="1"/>
    <w:qFormat/>
    <w:rsid w:val="0039271F"/>
    <w:pPr>
      <w:widowControl/>
      <w:autoSpaceDE/>
      <w:autoSpaceDN/>
    </w:pPr>
    <w:rPr>
      <w:rFonts w:ascii="Times New Roman" w:eastAsia="Times New Roman" w:hAnsi="Times New Roman" w:cs="Times New Roman"/>
    </w:rPr>
  </w:style>
  <w:style w:type="character" w:customStyle="1" w:styleId="SinespaciadoCar">
    <w:name w:val="Sin espaciado Car"/>
    <w:link w:val="Sinespaciado"/>
    <w:uiPriority w:val="1"/>
    <w:rsid w:val="0039271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otificaram.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19</Pages>
  <Words>7371</Words>
  <Characters>40545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jlalfaro_externo</dc:creator>
  <cp:lastModifiedBy>Carmen Galisteo</cp:lastModifiedBy>
  <cp:revision>103</cp:revision>
  <dcterms:created xsi:type="dcterms:W3CDTF">2019-10-08T13:31:00Z</dcterms:created>
  <dcterms:modified xsi:type="dcterms:W3CDTF">2021-11-17T16:42:00Z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Microsoft® Office Word 2007</vt:lpwstr>
  </property>
  <property fmtid="{D5CDD505-2E9C-101B-9397-08002B2CF9AE}" pid="4" name="LastSaved">
    <vt:filetime>2019-10-08T00:00:00Z</vt:filetime>
  </property>
</Properties>
</file>